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atitit.TokenService  token服务模块的设计  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Token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的归类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_Toc23337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Token的用途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_Toc3827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访问控制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_Toc3827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_Toc23252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i w:val="0"/>
          <w:caps w:val="0"/>
          <w:spacing w:val="0"/>
          <w:kern w:val="2"/>
          <w:szCs w:val="18"/>
          <w:shd w:val="clear" w:fill="FFFFFF"/>
          <w:lang w:val="en-US" w:eastAsia="zh-CN" w:bidi="ar-SA"/>
        </w:rPr>
        <w:t xml:space="preserve">.2.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3"/>
          <w:shd w:val="clear" w:fill="FFFFFF"/>
          <w:lang w:val="en-US" w:eastAsia="zh-CN" w:bidi="ar-SA"/>
        </w:rPr>
        <w:t>编译原理术语）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2"/>
          <w:szCs w:val="18"/>
          <w:shd w:val="clear" w:fill="FFFFFF"/>
          <w:lang w:val="en-US" w:eastAsia="zh-CN" w:bidi="ar-SA"/>
        </w:rPr>
        <w:t>编辑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_Toc23252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888888"/>
          <w:spacing w:val="0"/>
          <w:kern w:val="2"/>
          <w:szCs w:val="18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数据处理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8896"/>
      <w:r>
        <w:rPr>
          <w:rFonts w:hint="default"/>
          <w:lang w:val="en-US" w:eastAsia="zh-CN"/>
        </w:rPr>
        <w:t>Token</w:t>
      </w:r>
      <w:r>
        <w:rPr>
          <w:rFonts w:hint="eastAsia"/>
          <w:lang w:val="en-US" w:eastAsia="zh-CN"/>
        </w:rPr>
        <w:t>的归类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Token, 令牌，代表执行某些操作的权利的对象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访问令牌（Access token）表示访问控制操作主题的系统对象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邀请码，在邀请系统中使用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Token, Petri 网（Petri net）理论中的Token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密保令牌（Security token），或者硬件令牌，例如U盾，或者叫做认证令牌或者加密令牌，一种计算机身份校验的物理设备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会话令牌（Session token）,交互会话中唯一身份标识符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令牌化技术 (Tokenization), 取代敏感信息条目的处理过程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6" w:name="_GoBack"/>
      <w:bookmarkEnd w:id="6"/>
    </w:p>
    <w:p>
      <w:pPr>
        <w:pStyle w:val="2"/>
        <w:rPr>
          <w:rFonts w:hint="default"/>
          <w:lang w:val="en-US" w:eastAsia="zh-CN"/>
        </w:rPr>
      </w:pPr>
      <w:bookmarkStart w:id="1" w:name="_Toc23337"/>
      <w:r>
        <w:rPr>
          <w:rFonts w:hint="eastAsia"/>
          <w:lang w:val="en-US" w:eastAsia="zh-CN"/>
        </w:rPr>
        <w:t>Token的用途</w:t>
      </w:r>
      <w:bookmarkEnd w:id="1"/>
    </w:p>
    <w:p>
      <w:pPr>
        <w:pStyle w:val="3"/>
        <w:rPr>
          <w:rFonts w:hint="default"/>
          <w:lang w:val="en-US" w:eastAsia="zh-CN"/>
        </w:rPr>
      </w:pPr>
      <w:bookmarkStart w:id="2" w:name="_Toc3827"/>
      <w:r>
        <w:rPr>
          <w:rFonts w:hint="eastAsia"/>
          <w:lang w:val="en-US" w:eastAsia="zh-CN"/>
        </w:rPr>
        <w:t>访问控制</w:t>
      </w:r>
      <w:bookmarkEnd w:id="2"/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3" w:name="_Toc2325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编译原理术语）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instrText xml:space="preserve"> HYPERLINK "http://baike.baidu.com/javascript:;"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separate"/>
      </w:r>
      <w:r>
        <w:rPr>
          <w:rStyle w:val="22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end"/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词法分析是计算机科学中将字符序列转换为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标记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（token）序列的过程。从输入字符流中生成标记的过程叫作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标记化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（tokenization），在这个过程中，词法分析器还会对标记进行分类。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[1-2]</w:t>
      </w:r>
      <w:bookmarkStart w:id="4" w:name="ref_[1-2]_10684424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5" w:name="_Toc17383"/>
      <w:r>
        <w:rPr>
          <w:rFonts w:hint="eastAsia"/>
        </w:rPr>
        <w:t>数据处理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token其实说的更通俗点可以叫暗号，在一些数据传输之前，要先进行暗号的核对，不同的暗号被授权不同的数据操作。例如在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"http://baike.baidu.com/view/147754.htm"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USB1.1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中定义了4类数据包：token包、data包、handshake包和special包。主机和USB设备之间连续数据的交换可以分为三个阶段，第一个阶段由主机发送token包，不同的token包内容不一样（暗号不一样）可以告诉设备做不同的工作，第二个阶段发送data包，第三个阶段由设备返回一个handshake包。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标准化api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Getuname</w:t>
      </w:r>
    </w:p>
    <w:p>
      <w:pPr>
        <w:rPr>
          <w:rFonts w:hint="eastAsia" w:ascii="Consolas" w:hAnsi="Consolas" w:eastAsia="Consolas"/>
          <w:color w:val="000000"/>
          <w:sz w:val="24"/>
          <w:highlight w:val="lightGray"/>
        </w:rPr>
      </w:pPr>
      <w:r>
        <w:rPr>
          <w:rFonts w:hint="eastAsia" w:ascii="Consolas" w:hAnsi="Consolas" w:eastAsia="Consolas"/>
          <w:color w:val="000000"/>
          <w:sz w:val="24"/>
          <w:highlight w:val="lightGray"/>
        </w:rPr>
        <w:t>isLogined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removeToken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clrToken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delToken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Token（计算机术语）_百度百科.htm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907747">
    <w:nsid w:val="56D6A5E3"/>
    <w:multiLevelType w:val="multilevel"/>
    <w:tmpl w:val="56D6A5E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69077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D1E70"/>
    <w:rsid w:val="01A74F4D"/>
    <w:rsid w:val="037D7594"/>
    <w:rsid w:val="04DF3E87"/>
    <w:rsid w:val="142A0184"/>
    <w:rsid w:val="240251AE"/>
    <w:rsid w:val="27C16677"/>
    <w:rsid w:val="354521AE"/>
    <w:rsid w:val="35D3527D"/>
    <w:rsid w:val="41F307CD"/>
    <w:rsid w:val="439C3A41"/>
    <w:rsid w:val="48414138"/>
    <w:rsid w:val="4A7D6EE0"/>
    <w:rsid w:val="4BF430F8"/>
    <w:rsid w:val="610C555C"/>
    <w:rsid w:val="66A72062"/>
    <w:rsid w:val="67156BF1"/>
    <w:rsid w:val="6D9D2515"/>
    <w:rsid w:val="74F16ADF"/>
    <w:rsid w:val="78EF1F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2016-03-02T06:49:00Z</dcterms:created>
  <dc:creator>Administrator</dc:creator>
  <cp:lastModifiedBy>Administrator</cp:lastModifiedBy>
  <dcterms:modified xsi:type="dcterms:W3CDTF">2016-03-08T08:26:09Z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