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 </w:t>
      </w:r>
      <w:r>
        <w:rPr>
          <w:rFonts w:hint="default"/>
          <w:lang w:val="en-US" w:eastAsia="zh-CN"/>
        </w:rPr>
        <w:t>木桶理论”，而更多的是“长板理论”，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版权归作者所有，任何形式转载请联系作者。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作者：荣少（来自豆瓣）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来源：https://book.douban.com/review/9477315/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木桶理论”，而更多的是“长板理论”，在某一方面的特长和不可替代性决定了一个人的收入和社会地位。所以，个人建议最好是两者兼顾，在注重，全面的知识框架体系的同时，也要对自己感兴趣或者擅长的领域进行深度研究，成为一个全面型专业人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D6F0B"/>
    <w:rsid w:val="0EFD6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2019-05-13T15:09:00Z</dcterms:created>
  <dc:creator>ATI老哇的爪子007</dc:creator>
  <cp:lastModifiedBy>ATI老哇的爪子007</cp:lastModifiedBy>
  <dcterms:modified xsi:type="dcterms:W3CDTF">2019-05-13T15:09:42Z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