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人权概论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一党制度和独裁制度也可以保护人权。。当然民主制度更加容易些。。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新加坡，香港就是例子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人权高危人事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影响人权等因素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司法独立水平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  <w:shd w:val="clear" w:fill="FFFFFF"/>
        </w:rPr>
        <w:t>如果你告诉某些人，他们的短信和通话需要加密，那么他们或许会对你说，这样做太难。隐私虽然是受美国宪法和国际法保护的一项基本人权，但是如何保证自身隐私却始终是令人头痛的难题。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7141B"/>
    <w:rsid w:val="0A2F7B0A"/>
    <w:rsid w:val="1D644BBC"/>
    <w:rsid w:val="2C2E6B3E"/>
    <w:rsid w:val="3E3815F2"/>
    <w:rsid w:val="4E57141B"/>
    <w:rsid w:val="7AE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2020-01-04T22:05:00Z</dcterms:created>
  <dc:creator>ATI老哇的爪子007</dc:creator>
  <cp:lastModifiedBy>ATI老哇的爪子007</cp:lastModifiedBy>
  <dcterms:modified xsi:type="dcterms:W3CDTF">2020-01-17T00:51:48Z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