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分类学概论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中间分类怎么办，再增加个单独分类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ena综合了动植物两界的双重特征，既有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instrText xml:space="preserve"> HYPERLINK "https://baike.baidu.com/item/%E5%8F%B6%E7%BB%BF%E4%BD%93"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叶绿体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而营光合作用，又能行动而摄取食物。植物学者把它们列为藻类，称为裸藻；动物学者把它们列为原生动物，称为眼虫。中间类型是进化的证据，却成为分类的难题。为了解决这个难题，早在19世纪60年代，人们建议成立一个由低等生物所组成的第三界，取名为原生生物界（Protista），包括细菌、藻类、真菌和原生动物。这个三界系统解决了动植物界限难分的问题，但未被接受，整整100年后，直到20世纪60年代，才开始流行了一段时间，为不少教科书所采用。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03668A"/>
    <w:rsid w:val="3303668A"/>
    <w:rsid w:val="4C3E3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2020-09-22T08:09:00Z</dcterms:created>
  <dc:creator>u</dc:creator>
  <cp:lastModifiedBy>u</cp:lastModifiedBy>
  <dcterms:modified xsi:type="dcterms:W3CDTF">2020-09-22T08:10:17Z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