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软件开发中的一些原则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21"/>
        </w:rPr>
        <w:t>AIR</w:t>
      </w:r>
      <w:r>
        <w:t>原则</w:t>
      </w:r>
    </w:p>
    <w:p>
      <w:pPr>
        <w:pStyle w:val="2"/>
        <w:spacing w:after="0"/>
        <w:ind w:left="-5"/>
      </w:pPr>
      <w:r>
        <w:t>、单元测试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numPr>
          <w:ilvl w:val="0"/>
          <w:numId w:val="1"/>
        </w:numPr>
        <w:ind w:right="53" w:hanging="480"/>
      </w:pPr>
      <w:r>
        <w:t>【强制】好的单元测试必须遵守</w:t>
      </w:r>
      <w:r>
        <w:rPr>
          <w:rFonts w:ascii="微软雅黑" w:hAnsi="微软雅黑" w:eastAsia="微软雅黑" w:cs="微软雅黑"/>
          <w:sz w:val="21"/>
        </w:rPr>
        <w:t>AIR</w:t>
      </w:r>
      <w:r>
        <w:t>原则。</w:t>
      </w:r>
      <w:r>
        <w:rPr>
          <w:rFonts w:ascii="微软雅黑" w:hAnsi="微软雅黑" w:eastAsia="微软雅黑" w:cs="微软雅黑"/>
        </w:rPr>
        <w:t xml:space="preserve"> </w:t>
      </w:r>
    </w:p>
    <w:p>
      <w:r>
        <w:rPr>
          <w:color w:val="977C00"/>
        </w:rPr>
        <w:t>说明：</w:t>
      </w:r>
      <w:r>
        <w:t>单元测试在线上运行时，感觉像空气</w:t>
      </w:r>
      <w:r>
        <w:rPr>
          <w:sz w:val="21"/>
        </w:rPr>
        <w:t>（</w:t>
      </w:r>
      <w:r>
        <w:rPr>
          <w:rFonts w:ascii="微软雅黑" w:hAnsi="微软雅黑" w:eastAsia="微软雅黑" w:cs="微软雅黑"/>
          <w:sz w:val="21"/>
        </w:rPr>
        <w:t>AIR</w:t>
      </w:r>
      <w:r>
        <w:rPr>
          <w:sz w:val="21"/>
        </w:rPr>
        <w:t>）</w:t>
      </w:r>
      <w:r>
        <w:t>一样并不存在，</w:t>
      </w:r>
    </w:p>
    <w:p/>
    <w:p/>
    <w:p>
      <w:pP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PECS(Producer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ExtendsConsumer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Super)原则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>,</w:t>
      </w:r>
    </w:p>
    <w:p>
      <w:pP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ECS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>指“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Producer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Extends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>,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Consumer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CC0000"/>
          <w:sz w:val="19"/>
          <w:shd w:val="clear" w:color="auto" w:fill="FFFFFF"/>
        </w:rPr>
        <w:t>Super</w:t>
      </w:r>
      <w: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  <w:t>”。换句话说,如果参数化类型表示一个生产者,就使用;如果它表示一个消费者,就使用,可能你还不..</w:t>
      </w:r>
    </w:p>
    <w:p>
      <w:pPr>
        <w:rPr>
          <w:rFonts w:hint="default" w:ascii="Arial" w:hAnsi="宋体"/>
          <w:b w:val="0"/>
          <w:i w:val="0"/>
          <w:color w:val="333333"/>
          <w:sz w:val="19"/>
          <w:shd w:val="clear" w:color="auto" w:fill="FFFFFF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Java编程中有时我们要用到不确定的元素，通常用通配符"?"表示，其中" ? extends T "叫"上界通配符"， " ? super T "叫"下界通配符"。</w:t>
      </w:r>
    </w:p>
    <w:p>
      <w:pPr>
        <w:autoSpaceDN w:val="0"/>
        <w:spacing w:before="210" w:after="210"/>
        <w:rPr>
          <w:rFonts w:hint="default" w:ascii="宋体" w:hAnsi="宋体"/>
          <w:b/>
          <w:sz w:val="24"/>
        </w:rPr>
      </w:pPr>
      <w:r>
        <w:rPr>
          <w:rFonts w:hint="default" w:ascii="宋体" w:hAnsi="宋体"/>
          <w:b/>
          <w:sz w:val="24"/>
        </w:rPr>
        <w:t>PECS原则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PECS原则的全拼是"Producer Extends Consumer Super"。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当需要频繁取值，而不需要写值则使用</w:t>
      </w:r>
      <w:r>
        <w:rPr>
          <w:rFonts w:hint="default" w:ascii="宋体" w:hAnsi="宋体"/>
          <w:b/>
          <w:sz w:val="24"/>
        </w:rPr>
        <w:t>" ? extends T "</w:t>
      </w:r>
      <w:r>
        <w:rPr>
          <w:rFonts w:hint="default" w:ascii="宋体" w:hAnsi="宋体"/>
          <w:sz w:val="24"/>
        </w:rPr>
        <w:t>作为数据结构泛型。相反，当需要频繁写值，而不需要取值则使用</w:t>
      </w:r>
      <w:r>
        <w:rPr>
          <w:rFonts w:hint="default" w:ascii="宋体" w:hAnsi="宋体"/>
          <w:b/>
          <w:sz w:val="24"/>
        </w:rPr>
        <w:t>" ? super T "</w:t>
      </w:r>
      <w:r>
        <w:rPr>
          <w:rFonts w:hint="default" w:ascii="宋体" w:hAnsi="宋体"/>
          <w:sz w:val="24"/>
        </w:rPr>
        <w:t>作为数据结构泛型。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br/>
      </w:r>
    </w:p>
    <w:p>
      <w:pPr>
        <w:shd w:val="solid" w:color="FFFFFF" w:fill="auto"/>
        <w:autoSpaceDN w:val="0"/>
        <w:spacing w:after="225" w:line="26" w:lineRule="atLeast"/>
        <w:ind w:firstLine="0"/>
        <w:rPr>
          <w:rFonts w:hint="default" w:ascii="-apple-system" w:hAnsi="宋体"/>
          <w:b/>
          <w:i w:val="0"/>
          <w:color w:val="2F2F2F"/>
          <w:sz w:val="33"/>
          <w:shd w:val="clear" w:color="auto" w:fill="FFFFFF"/>
        </w:rPr>
      </w:pPr>
      <w:r>
        <w:rPr>
          <w:rFonts w:hint="default" w:ascii="-apple-system" w:hAnsi="宋体"/>
          <w:b/>
          <w:i w:val="0"/>
          <w:color w:val="2F2F2F"/>
          <w:sz w:val="33"/>
          <w:shd w:val="clear" w:color="auto" w:fill="FFFFFF"/>
        </w:rPr>
        <w:t>总结</w:t>
      </w:r>
    </w:p>
    <w:p>
      <w:pPr>
        <w:shd w:val="solid" w:color="FFFFFF" w:fill="auto"/>
        <w:autoSpaceDN w:val="0"/>
        <w:spacing w:after="375"/>
        <w:ind w:firstLine="0"/>
        <w:rPr>
          <w:rFonts w:hint="default" w:ascii="-apple-system" w:hAnsi="宋体"/>
          <w:b w:val="0"/>
          <w:i w:val="0"/>
          <w:color w:val="2F2F2F"/>
          <w:sz w:val="24"/>
          <w:shd w:val="clear" w:color="auto" w:fill="FFFFFF"/>
        </w:rPr>
      </w:pPr>
      <w:r>
        <w:rPr>
          <w:rFonts w:hint="default" w:ascii="-apple-system" w:hAnsi="宋体"/>
          <w:b w:val="0"/>
          <w:i w:val="0"/>
          <w:color w:val="2F2F2F"/>
          <w:sz w:val="24"/>
          <w:shd w:val="clear" w:color="auto" w:fill="FFFFFF"/>
        </w:rPr>
        <w:t>PECS原则，就是当时用extends做泛型时，该数据结构作为Producer对外提供值，只能进行取值而不能写值。</w:t>
      </w:r>
      <w:r>
        <w:rPr>
          <w:rFonts w:hint="default" w:ascii="-apple-system" w:hAnsi="宋体"/>
          <w:b w:val="0"/>
          <w:i w:val="0"/>
          <w:color w:val="2F2F2F"/>
          <w:sz w:val="24"/>
          <w:shd w:val="clear" w:color="auto" w:fill="FFFFFF"/>
        </w:rPr>
        <w:br/>
      </w:r>
      <w:r>
        <w:rPr>
          <w:rFonts w:hint="default" w:ascii="-apple-system" w:hAnsi="宋体"/>
          <w:b w:val="0"/>
          <w:i w:val="0"/>
          <w:color w:val="2F2F2F"/>
          <w:sz w:val="24"/>
          <w:shd w:val="clear" w:color="auto" w:fill="FFFFFF"/>
        </w:rPr>
        <w:t>当时用super做泛型时，该数据结构作为Producer对外提供值，只能进行取值而不能写值。 Consumer Super</w:t>
      </w:r>
    </w:p>
    <w:p>
      <w:pPr>
        <w:rPr>
          <w:rFonts w:hint="eastAsia"/>
        </w:rPr>
      </w:pPr>
      <w:r>
        <w:rPr>
          <w:rFonts w:hint="eastAsia"/>
        </w:rPr>
        <w:t>『Java』泛型中的PECS原则 - 简书.html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spacing w:after="254"/>
        <w:ind w:right="53" w:hanging="480"/>
      </w:pPr>
      <w:r>
        <w:t>【推荐】编写单元测试代码遵守</w:t>
      </w:r>
      <w:r>
        <w:rPr>
          <w:rFonts w:ascii="微软雅黑" w:hAnsi="微软雅黑" w:eastAsia="微软雅黑" w:cs="微软雅黑"/>
          <w:sz w:val="21"/>
        </w:rPr>
        <w:t>BCDE</w:t>
      </w:r>
      <w:r>
        <w:t>原则，以保证被测试模块的交付质量。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numPr>
          <w:ilvl w:val="1"/>
          <w:numId w:val="1"/>
        </w:numPr>
        <w:spacing w:after="179"/>
        <w:ind w:right="53" w:hanging="360"/>
      </w:pPr>
      <w:r>
        <w:rPr>
          <w:rFonts w:ascii="微软雅黑" w:hAnsi="微软雅黑" w:eastAsia="微软雅黑" w:cs="微软雅黑"/>
          <w:color w:val="0000FF"/>
        </w:rPr>
        <w:t>B</w:t>
      </w:r>
      <w:r>
        <w:t>：</w:t>
      </w:r>
      <w:r>
        <w:rPr>
          <w:rFonts w:ascii="微软雅黑" w:hAnsi="微软雅黑" w:eastAsia="微软雅黑" w:cs="微软雅黑"/>
          <w:sz w:val="21"/>
        </w:rPr>
        <w:t>Border</w:t>
      </w:r>
      <w:r>
        <w:t>，边界值测试，包括循环边界、特殊取值、特殊时间点、数据顺序等。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numPr>
          <w:ilvl w:val="1"/>
          <w:numId w:val="1"/>
        </w:numPr>
        <w:spacing w:after="178"/>
        <w:ind w:right="53" w:hanging="360"/>
      </w:pPr>
      <w:r>
        <w:rPr>
          <w:rFonts w:ascii="微软雅黑" w:hAnsi="微软雅黑" w:eastAsia="微软雅黑" w:cs="微软雅黑"/>
          <w:color w:val="0000FF"/>
        </w:rPr>
        <w:t>C</w:t>
      </w:r>
      <w:r>
        <w:t>：</w:t>
      </w:r>
      <w:r>
        <w:rPr>
          <w:rFonts w:ascii="微软雅黑" w:hAnsi="微软雅黑" w:eastAsia="微软雅黑" w:cs="微软雅黑"/>
          <w:sz w:val="21"/>
        </w:rPr>
        <w:t>Correct</w:t>
      </w:r>
      <w:r>
        <w:t>，正确的输入，并得到预期的结果。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numPr>
          <w:ilvl w:val="1"/>
          <w:numId w:val="1"/>
        </w:numPr>
        <w:spacing w:after="173"/>
        <w:ind w:right="53" w:hanging="360"/>
      </w:pPr>
      <w:r>
        <w:rPr>
          <w:rFonts w:ascii="微软雅黑" w:hAnsi="微软雅黑" w:eastAsia="微软雅黑" w:cs="微软雅黑"/>
          <w:color w:val="0000FF"/>
        </w:rPr>
        <w:t>D</w:t>
      </w:r>
      <w:r>
        <w:t>：</w:t>
      </w:r>
      <w:r>
        <w:rPr>
          <w:rFonts w:ascii="微软雅黑" w:hAnsi="微软雅黑" w:eastAsia="微软雅黑" w:cs="微软雅黑"/>
          <w:sz w:val="21"/>
        </w:rPr>
        <w:t>Design</w:t>
      </w:r>
      <w:r>
        <w:t>，与设计文档相结合，来编写单元测试。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0000FF"/>
        </w:rPr>
        <w:t>E</w:t>
      </w:r>
      <w:r>
        <w:t>：</w:t>
      </w:r>
      <w:r>
        <w:rPr>
          <w:rFonts w:ascii="微软雅黑" w:hAnsi="微软雅黑" w:eastAsia="微软雅黑" w:cs="微软雅黑"/>
          <w:sz w:val="21"/>
        </w:rPr>
        <w:t>Error</w:t>
      </w:r>
      <w:r>
        <w:t>，强制错误信息输入（如：非法数据、异常流程、非业务允许输入等），并得到预期的结果。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Microsoft YaHei U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01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ind w:left="84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</w:rPr>
    </w:lvl>
    <w:lvl w:ilvl="1" w:tentative="1">
      <w:start w:val="1"/>
      <w:numFmt w:val="bullet"/>
      <w:lvlText w:val=""/>
      <w:lvlJc w:val="left"/>
      <w:pPr>
        <w:ind w:left="144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2" w:tentative="1">
      <w:start w:val="1"/>
      <w:numFmt w:val="bullet"/>
      <w:lvlText w:val="▪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3" w:tentative="1">
      <w:start w:val="1"/>
      <w:numFmt w:val="bullet"/>
      <w:lvlText w:val="•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4" w:tentative="1">
      <w:start w:val="1"/>
      <w:numFmt w:val="bullet"/>
      <w:lvlText w:val="o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5" w:tentative="1">
      <w:start w:val="1"/>
      <w:numFmt w:val="bullet"/>
      <w:lvlText w:val="▪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6" w:tentative="1">
      <w:start w:val="1"/>
      <w:numFmt w:val="bullet"/>
      <w:lvlText w:val="•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7" w:tentative="1">
      <w:start w:val="1"/>
      <w:numFmt w:val="bullet"/>
      <w:lvlText w:val="o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  <w:lvl w:ilvl="8" w:tentative="1">
      <w:start w:val="1"/>
      <w:numFmt w:val="bullet"/>
      <w:lvlText w:val="▪"/>
      <w:lvlJc w:val="left"/>
      <w:pPr>
        <w:ind w:left="6480"/>
      </w:pPr>
      <w:rPr>
        <w:rFonts w:ascii="Wingdings" w:hAnsi="Wingdings" w:eastAsia="Wingdings" w:cs="Wingdings"/>
        <w:b w:val="0"/>
        <w:i w:val="0"/>
        <w:strike w:val="0"/>
        <w:dstrike w:val="0"/>
        <w:color w:val="333333"/>
        <w:sz w:val="20"/>
        <w:szCs w:val="20"/>
        <w:u w:val="none" w:color="000000"/>
        <w:shd w:val="clear" w:color="auto" w:fill="auto"/>
      </w:rPr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100" w:line="265" w:lineRule="auto"/>
      <w:ind w:left="370" w:hanging="10"/>
    </w:pPr>
    <w:rPr>
      <w:rFonts w:ascii="宋体" w:hAnsi="宋体" w:eastAsia="宋体" w:cs="宋体"/>
      <w:color w:val="333333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pPr>
      <w:keepNext/>
      <w:keepLines/>
      <w:spacing w:after="233" w:line="259" w:lineRule="auto"/>
      <w:ind w:left="10" w:hanging="10"/>
      <w:outlineLvl w:val="0"/>
    </w:pPr>
    <w:rPr>
      <w:rFonts w:ascii="黑体" w:hAnsi="黑体" w:eastAsia="黑体" w:cs="黑体"/>
      <w:color w:val="000000"/>
      <w:sz w:val="45"/>
    </w:rPr>
  </w:style>
  <w:style w:type="character" w:default="1" w:styleId="5">
    <w:name w:val="Default Paragraph Font"/>
  </w:style>
  <w:style w:type="paragraph" w:styleId="3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2008-12-26T16:45:00Z</dcterms:created>
  <dc:creator>zhoufeiyue</dc:creator>
  <cp:lastModifiedBy>huangzhijun</cp:lastModifiedBy>
  <dcterms:modified xsi:type="dcterms:W3CDTF">2019-03-08T11:40:11Z</dcterms:modified>
  <dc:title>Atitit 软件开发中的一些原则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