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教育的体系与分类</w:t>
      </w:r>
    </w:p>
    <w:p>
      <w:pPr>
        <w:rPr>
          <w:rFonts w:hint="eastAsia"/>
          <w:lang w:val="en-US" w:eastAsia="zh-CN"/>
        </w:rPr>
      </w:pPr>
    </w:p>
    <w:sdt>
      <w:sdtPr>
        <w:rPr>
          <w:rFonts w:ascii="宋体" w:hAnsi="宋体" w:eastAsia="宋体" w:cstheme="minorBidi"/>
          <w:kern w:val="2"/>
          <w:sz w:val="21"/>
          <w:szCs w:val="24"/>
          <w:lang w:val="en-US" w:eastAsia="zh-CN" w:bidi="ar-SA"/>
        </w:rPr>
        <w:id w:val="14745388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5" w:name="_GoBack"/>
          <w:bookmarkEnd w:id="1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_Toc14488 </w:instrText>
          </w:r>
          <w:r>
            <w:rPr>
              <w:rFonts w:hint="eastAsia"/>
              <w:lang w:val="en-US" w:eastAsia="zh-CN"/>
            </w:rPr>
            <w:fldChar w:fldCharType="separate"/>
          </w:r>
          <w:r>
            <w:rPr>
              <w:rFonts w:hint="default"/>
              <w:lang w:val="en-US" w:eastAsia="zh-CN"/>
            </w:rPr>
            <w:t xml:space="preserve">1.1. </w:t>
          </w:r>
          <w:r>
            <w:rPr>
              <w:rFonts w:hint="eastAsia"/>
              <w:lang w:val="en-US" w:eastAsia="zh-CN"/>
            </w:rPr>
            <w:t>普通教育  学术教育 技术教育 职业教育</w:t>
          </w:r>
          <w:r>
            <w:tab/>
          </w:r>
          <w:r>
            <w:fldChar w:fldCharType="begin"/>
          </w:r>
          <w:r>
            <w:instrText xml:space="preserve"> PAGEREF _Toc14488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_Toc15305 </w:instrText>
          </w:r>
          <w:r>
            <w:rPr>
              <w:rFonts w:hint="eastAsia"/>
              <w:lang w:val="en-US" w:eastAsia="zh-CN"/>
            </w:rPr>
            <w:fldChar w:fldCharType="separate"/>
          </w:r>
          <w:r>
            <w:rPr>
              <w:rFonts w:hint="default"/>
              <w:lang w:val="en-US" w:eastAsia="zh-CN"/>
            </w:rPr>
            <w:t xml:space="preserve">1.2. </w:t>
          </w:r>
          <w:r>
            <w:rPr>
              <w:rFonts w:hint="eastAsia"/>
              <w:lang w:val="en-US" w:eastAsia="zh-CN"/>
            </w:rPr>
            <w:t>初等 中等 高等教育</w:t>
          </w:r>
          <w:r>
            <w:tab/>
          </w:r>
          <w:r>
            <w:fldChar w:fldCharType="begin"/>
          </w:r>
          <w:r>
            <w:instrText xml:space="preserve"> PAGEREF _Toc15305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_Toc22043 </w:instrText>
          </w:r>
          <w:r>
            <w:rPr>
              <w:rFonts w:hint="eastAsia"/>
              <w:lang w:val="en-US" w:eastAsia="zh-CN"/>
            </w:rPr>
            <w:fldChar w:fldCharType="separate"/>
          </w:r>
          <w:r>
            <w:rPr>
              <w:rFonts w:hint="default"/>
              <w:szCs w:val="33"/>
            </w:rPr>
            <w:t xml:space="preserve">1.3. </w:t>
          </w:r>
          <w:r>
            <w:rPr>
              <w:i w:val="0"/>
              <w:caps w:val="0"/>
              <w:spacing w:val="0"/>
              <w:szCs w:val="33"/>
              <w:shd w:val="clear" w:fill="FFFFFF"/>
            </w:rPr>
            <w:t>知识延伸</w:t>
          </w:r>
          <w:r>
            <w:tab/>
          </w:r>
          <w:r>
            <w:fldChar w:fldCharType="begin"/>
          </w:r>
          <w:r>
            <w:instrText xml:space="preserve"> PAGEREF _Toc22043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_Toc6441 </w:instrText>
          </w:r>
          <w:r>
            <w:rPr>
              <w:rFonts w:hint="eastAsia"/>
              <w:lang w:val="en-US" w:eastAsia="zh-CN"/>
            </w:rPr>
            <w:fldChar w:fldCharType="separate"/>
          </w:r>
          <w:r>
            <w:rPr>
              <w:rFonts w:hint="default"/>
              <w:szCs w:val="27"/>
            </w:rPr>
            <w:t xml:space="preserve">1.3.1. </w:t>
          </w:r>
          <w:r>
            <w:rPr>
              <w:i w:val="0"/>
              <w:caps w:val="0"/>
              <w:spacing w:val="0"/>
              <w:szCs w:val="27"/>
              <w:shd w:val="clear" w:fill="FFFFFF"/>
            </w:rPr>
            <w:t>国民教育体系</w:t>
          </w:r>
          <w:r>
            <w:tab/>
          </w:r>
          <w:r>
            <w:fldChar w:fldCharType="begin"/>
          </w:r>
          <w:r>
            <w:instrText xml:space="preserve"> PAGEREF _Toc6441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_Toc24800 </w:instrText>
          </w:r>
          <w:r>
            <w:rPr>
              <w:rFonts w:hint="eastAsia"/>
              <w:lang w:val="en-US" w:eastAsia="zh-CN"/>
            </w:rPr>
            <w:fldChar w:fldCharType="separate"/>
          </w:r>
          <w:r>
            <w:rPr>
              <w:rFonts w:hint="default"/>
              <w:szCs w:val="27"/>
            </w:rPr>
            <w:t xml:space="preserve">1.3.2. </w:t>
          </w:r>
          <w:r>
            <w:rPr>
              <w:i w:val="0"/>
              <w:caps w:val="0"/>
              <w:spacing w:val="0"/>
              <w:szCs w:val="27"/>
              <w:shd w:val="clear" w:fill="FFFFFF"/>
            </w:rPr>
            <w:t>终身教育体系</w:t>
          </w:r>
          <w:r>
            <w:tab/>
          </w:r>
          <w:r>
            <w:fldChar w:fldCharType="begin"/>
          </w:r>
          <w:r>
            <w:instrText xml:space="preserve"> PAGEREF _Toc24800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572000" cy="58578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572000" cy="585787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0" w:name="_Toc14488"/>
      <w:r>
        <w:rPr>
          <w:rFonts w:hint="eastAsia"/>
          <w:lang w:val="en-US" w:eastAsia="zh-CN"/>
        </w:rPr>
        <w:t>普通教育  学术教育 技术教育 职业教育</w:t>
      </w:r>
      <w:bookmarkEnd w:id="0"/>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:以培养</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"https://baike.baidu.com/item/%E8%84%91%E5%8A%9B%E5%8A%B3%E5%8A%A8" \t "https://baike.baidu.com/item/%E6%8A%80%E6%9C%AF%E6%95%99%E8%82%B2/_blank"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脑力劳动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为主的技术员学校教育称为技术教育。以培养体力劳动为主的技术工人学校教育称为职业教育，在我国则统一称之为职业和技术教育。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社会人才结构可划分为学术型、工程型、技术型、技能型四大类，通常国际上把培养技术型人才的教育称为技术教育。我国的高职教育主要培养技术型人才，属于专业技术教育。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另一种含义起始于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"https://baike.baidu.com/item/20%E4%B8%96%E7%BA%AA" \t "https://baike.baidu.com/item/%E6%8A%80%E6%9C%AF%E6%95%99%E8%82%B2/_blank"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20世纪</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中叶，把培养技术型这种新型人才的教育称为技术教育，以区别于培养技能型人才的职业教育。</w:t>
      </w:r>
      <w:r>
        <w:rPr>
          <w:rFonts w:hint="default" w:ascii="Arial" w:hAnsi="Arial" w:eastAsia="宋体" w:cs="Arial"/>
          <w:i w:val="0"/>
          <w:caps w:val="0"/>
          <w:color w:val="3366CC"/>
          <w:spacing w:val="0"/>
          <w:kern w:val="0"/>
          <w:sz w:val="18"/>
          <w:szCs w:val="18"/>
          <w:shd w:val="clear" w:fill="FFFFFF"/>
          <w:vertAlign w:val="baseline"/>
          <w:lang w:val="en-US" w:eastAsia="zh-CN" w:bidi="ar"/>
        </w:rPr>
        <w:t>[2]</w:t>
      </w:r>
      <w:bookmarkStart w:id="1" w:name="ref_[2]_573139"/>
      <w:r>
        <w:rPr>
          <w:rFonts w:hint="default" w:ascii="Arial" w:hAnsi="Arial" w:eastAsia="宋体" w:cs="Arial"/>
          <w:i w:val="0"/>
          <w:caps w:val="0"/>
          <w:color w:val="136EC2"/>
          <w:spacing w:val="0"/>
          <w:kern w:val="0"/>
          <w:sz w:val="0"/>
          <w:szCs w:val="0"/>
          <w:u w:val="none"/>
          <w:shd w:val="clear" w:fill="FFFFFF"/>
          <w:lang w:val="en-US" w:eastAsia="zh-CN" w:bidi="ar"/>
        </w:rPr>
        <w:t> </w:t>
      </w:r>
      <w:bookmarkEnd w:id="1"/>
    </w:p>
    <w:p>
      <w:pPr>
        <w:rPr>
          <w:rFonts w:hint="eastAsia"/>
          <w:lang w:val="en-US" w:eastAsia="zh-CN"/>
        </w:rPr>
      </w:pPr>
    </w:p>
    <w:p>
      <w:pPr>
        <w:pStyle w:val="3"/>
        <w:ind w:left="575" w:leftChars="0" w:hanging="575" w:firstLineChars="0"/>
        <w:rPr>
          <w:rFonts w:hint="eastAsia"/>
          <w:lang w:val="en-US" w:eastAsia="zh-CN"/>
        </w:rPr>
      </w:pPr>
      <w:bookmarkStart w:id="2" w:name="_Toc15305"/>
      <w:r>
        <w:rPr>
          <w:rFonts w:hint="eastAsia"/>
          <w:lang w:val="en-US" w:eastAsia="zh-CN"/>
        </w:rPr>
        <w:t>初等 中等 高等教育</w:t>
      </w:r>
      <w:bookmarkEnd w:id="2"/>
    </w:p>
    <w:p>
      <w:pPr>
        <w:rPr>
          <w:rFonts w:hint="eastAsia"/>
          <w:lang w:val="en-US" w:eastAsia="zh-CN"/>
        </w:rPr>
      </w:pPr>
      <w:r>
        <w:rPr>
          <w:rFonts w:hint="eastAsia"/>
          <w:lang w:val="en-US" w:eastAsia="zh-CN"/>
        </w:rPr>
        <w:t>行业（企业）教育系统（岗前 在岗 转岗 继续教育</w:t>
      </w:r>
    </w:p>
    <w:p>
      <w:pPr>
        <w:rPr>
          <w:rFonts w:hint="eastAsia"/>
          <w:lang w:val="en-US" w:eastAsia="zh-CN"/>
        </w:rPr>
      </w:pPr>
      <w:r>
        <w:rPr>
          <w:rFonts w:hint="eastAsia"/>
          <w:lang w:val="en-US" w:eastAsia="zh-CN"/>
        </w:rPr>
        <w:t>社会教育系统   图书馆 博物馆 科技馆 大众媒体  假日教育</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_Toc22043"/>
      <w:r>
        <w:rPr>
          <w:i w:val="0"/>
          <w:caps w:val="0"/>
          <w:color w:val="000000"/>
          <w:spacing w:val="0"/>
          <w:sz w:val="33"/>
          <w:szCs w:val="33"/>
          <w:shd w:val="clear" w:fill="FFFFFF"/>
        </w:rPr>
        <w:t>知识延伸</w:t>
      </w:r>
      <w:bookmarkEnd w:id="3"/>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"https://baike.baidu.com/item/%E6%95%99%E8%82%B2%E4%BD%93%E7%B3%BB/javascript:;"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国民教育体系"/>
      <w:bookmarkEnd w:id="4"/>
      <w:bookmarkStart w:id="5" w:name="3-1"/>
      <w:bookmarkEnd w:id="5"/>
      <w:bookmarkStart w:id="6" w:name="sub3994096_3_1"/>
      <w:bookmarkEnd w:id="6"/>
      <w:bookmarkStart w:id="7" w:name="3_1"/>
      <w:bookmarkEnd w:id="7"/>
      <w:bookmarkStart w:id="8" w:name="_Toc6441"/>
      <w:r>
        <w:rPr>
          <w:i w:val="0"/>
          <w:caps w:val="0"/>
          <w:color w:val="333333"/>
          <w:spacing w:val="0"/>
          <w:sz w:val="27"/>
          <w:szCs w:val="27"/>
          <w:shd w:val="clear" w:fill="FFFFFF"/>
        </w:rPr>
        <w:t>国民教育体系</w:t>
      </w:r>
      <w:bookmarkEnd w:id="8"/>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"https://baike.baidu.com/item/%E5%9B%BD%E6%B0%91%E6%95%99%E8%82%B2%E4%BD%93%E7%B3%BB/5515340"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国民教育体系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主要是指主权国家通过制度或法律的形式，对本国所有享有公民权利的人所提供的一种不同层次、不同形态和不同类型的教育服务系统。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"https://baike.baidu.com/item/%E7%BB%88%E8%BA%AB%E6%95%99%E8%82%B2%E4%BD%93%E7%B3%BB/10637278"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终身教育体系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则是针对人生各个阶段的发展需求以及社会政治和经济的变化而建立的教育服务系统。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 w:name="sub3994096_3_2"/>
      <w:bookmarkEnd w:id="9"/>
      <w:bookmarkStart w:id="10" w:name="3-2"/>
      <w:bookmarkEnd w:id="10"/>
      <w:bookmarkStart w:id="11" w:name="3_2"/>
      <w:bookmarkEnd w:id="11"/>
      <w:bookmarkStart w:id="12" w:name="终身教育体系"/>
      <w:bookmarkEnd w:id="12"/>
      <w:bookmarkStart w:id="13" w:name="_Toc24800"/>
      <w:r>
        <w:rPr>
          <w:i w:val="0"/>
          <w:caps w:val="0"/>
          <w:color w:val="333333"/>
          <w:spacing w:val="0"/>
          <w:sz w:val="27"/>
          <w:szCs w:val="27"/>
          <w:shd w:val="clear" w:fill="FFFFFF"/>
        </w:rPr>
        <w:t>终身教育体系</w:t>
      </w:r>
      <w:bookmarkEnd w:id="1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"https://baike.baidu.com/item/%E7%BB%88%E8%BA%AB%E6%95%99%E8%82%B2/1055652"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终身教育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是贯穿人一生、面向全体社会成员的教育体系，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"https://baike.baidu.com/item/%E5%9B%BD%E6%B0%91%E6%95%99%E8%82%B2%E4%BD%93%E7%B3%BB/5515340"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国民教育体系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"https://baike.baidu.com/item/%E7%BB%88%E8%BA%AB%E6%95%99%E8%82%B2%E4%BD%93%E7%B3%BB/10637278"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终身教育体系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的重要组成部分，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"https://baike.baidu.com/item/%E5%9B%BD%E6%B0%91%E6%95%99%E8%82%B2/928170"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国民教育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是终身教育的基石，没有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"https://baike.baidu.com/item/%E7%8E%B0%E4%BB%A3%E5%9B%BD%E6%B0%91%E6%95%99%E8%82%B2%E4%BD%93%E7%B3%BB/2187826" \t "https://baike.baidu.com/item/%E6%95%99%E8%82%B2%E4%BD%93%E7%B3%BB/_blank"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现代国民教育体系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作为依托，终身教育体系也就难以建立。可以说，国民教育体系是终身教育体系的重要组成部分。</w:t>
      </w:r>
      <w:r>
        <w:rPr>
          <w:rFonts w:hint="default" w:ascii="Arial" w:hAnsi="Arial" w:eastAsia="宋体" w:cs="Arial"/>
          <w:i w:val="0"/>
          <w:caps w:val="0"/>
          <w:color w:val="3366CC"/>
          <w:spacing w:val="0"/>
          <w:kern w:val="0"/>
          <w:sz w:val="18"/>
          <w:szCs w:val="18"/>
          <w:shd w:val="clear" w:fill="FFFFFF"/>
          <w:vertAlign w:val="baseline"/>
          <w:lang w:val="en-US" w:eastAsia="zh-CN" w:bidi="ar"/>
        </w:rPr>
        <w:t> [1]</w:t>
      </w:r>
      <w:bookmarkStart w:id="14" w:name="ref_[1]_3994096"/>
      <w:r>
        <w:rPr>
          <w:rFonts w:hint="default" w:ascii="Arial" w:hAnsi="Arial" w:eastAsia="宋体" w:cs="Arial"/>
          <w:i w:val="0"/>
          <w:caps w:val="0"/>
          <w:color w:val="136EC2"/>
          <w:spacing w:val="0"/>
          <w:kern w:val="0"/>
          <w:sz w:val="0"/>
          <w:szCs w:val="0"/>
          <w:u w:val="none"/>
          <w:shd w:val="clear" w:fill="FFFFFF"/>
          <w:lang w:val="en-US" w:eastAsia="zh-CN" w:bidi="ar"/>
        </w:rPr>
        <w:t> </w:t>
      </w:r>
      <w:bookmarkEnd w:id="14"/>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58361"/>
    <w:multiLevelType w:val="multilevel"/>
    <w:tmpl w:val="9355836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37E6D"/>
    <w:rsid w:val="144B07E2"/>
    <w:rsid w:val="187C0D43"/>
    <w:rsid w:val="2A4B0018"/>
    <w:rsid w:val="3E264F86"/>
    <w:rsid w:val="46960D7B"/>
    <w:rsid w:val="47037E6D"/>
    <w:rsid w:val="529A6B8F"/>
    <w:rsid w:val="78756E0C"/>
    <w:rsid w:val="7AAC43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6"/>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2"/>
    <w:basedOn w:val="1"/>
    <w:next w:val="1"/>
    <w:qFormat/>
    <w:uiPriority w:val="0"/>
    <w:pPr>
      <w:ind w:left="420" w:leftChars="200"/>
    </w:pPr>
  </w:style>
  <w:style w:type="character" w:styleId="15">
    <w:name w:val="Hyperlink"/>
    <w:basedOn w:val="14"/>
    <w:qFormat/>
    <w:uiPriority w:val="0"/>
    <w:rPr>
      <w:color w:val="0000FF"/>
      <w:u w:val="single"/>
    </w:rPr>
  </w:style>
  <w:style w:type="character" w:customStyle="1" w:styleId="16">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2018-12-25T01:29:00Z</dcterms:created>
  <dc:creator>ATI老哇的爪子007</dc:creator>
  <cp:lastModifiedBy>u</cp:lastModifiedBy>
  <dcterms:modified xsi:type="dcterms:W3CDTF">2020-09-09T03:31:31Z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