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知识体系与学科的分类.docx</w:t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三大类型  学术型  应用型  职业技术教育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CIP-2000学科群设置情况总表</w:t>
          </w:r>
          <w:r>
            <w:rPr>
              <w:rFonts w:hint="eastAsia"/>
              <w:lang w:val="en-US" w:eastAsia="zh-CN"/>
            </w:rPr>
            <w:t xml:space="preserve">  17个大类</w:t>
          </w:r>
          <w:r>
            <w:tab/>
          </w:r>
          <w:r>
            <w:fldChar w:fldCharType="begin"/>
          </w:r>
          <w:r>
            <w:instrText xml:space="preserve"> PAGEREF _Toc7902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_Toc4717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8"/>
              <w:bdr w:val="none" w:color="auto" w:sz="0" w:space="0"/>
              <w:shd w:val="clear" w:fill="FFFFFF"/>
              <w:lang w:val="en-US" w:eastAsia="zh-CN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附表1、CIP-2000学科群设置情况总表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  17个大类</w:t>
          </w:r>
          <w:r>
            <w:tab/>
          </w:r>
          <w:r>
            <w:fldChar w:fldCharType="begin"/>
          </w:r>
          <w:r>
            <w:instrText xml:space="preserve"> PAGEREF _Toc4717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_Toc16236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8"/>
            </w:rPr>
            <w:t xml:space="preserve">2.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8"/>
              <w:shd w:val="clear" w:fill="FFFFFF"/>
            </w:rPr>
            <w:t>三大层次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8"/>
              <w:shd w:val="clear" w:fill="FFFFFF"/>
            </w:rPr>
            <w:t>分类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8"/>
              <w:shd w:val="clear" w:fill="FFFFFF"/>
            </w:rPr>
            <w:t>学科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8"/>
              <w:shd w:val="clear" w:fill="FFFFFF"/>
            </w:rPr>
            <w:t>专业</w:t>
          </w:r>
          <w:r>
            <w:tab/>
          </w:r>
          <w:r>
            <w:fldChar w:fldCharType="begin"/>
          </w:r>
          <w:r>
            <w:instrText xml:space="preserve"> PAGEREF _Toc16236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_Toc30875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8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20个知识大类</w:t>
          </w:r>
          <w:r>
            <w:tab/>
          </w:r>
          <w:r>
            <w:fldChar w:fldCharType="begin"/>
          </w:r>
          <w:r>
            <w:instrText xml:space="preserve"> PAGEREF _Toc30875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_Toc18171 </w:instrText>
          </w:r>
          <w:r>
            <w:fldChar w:fldCharType="separate"/>
          </w:r>
          <w:r>
            <w:rPr>
              <w:rFonts w:hint="default"/>
              <w:szCs w:val="28"/>
            </w:rPr>
            <w:t xml:space="preserve">3. </w:t>
          </w:r>
          <w:r>
            <w:rPr>
              <w:szCs w:val="28"/>
            </w:rPr>
            <w:t>Atitit 人文社科专业体系attilax总结</w:t>
          </w:r>
          <w:r>
            <w:tab/>
          </w:r>
          <w:r>
            <w:fldChar w:fldCharType="begin"/>
          </w:r>
          <w:r>
            <w:instrText xml:space="preserve"> PAGEREF _Toc18171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_Toc32454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文理科分类法 </w:t>
          </w:r>
          <w:r>
            <w:rPr>
              <w:rFonts w:hint="eastAsia"/>
            </w:rPr>
            <w:t>文科”专业  理工科</w:t>
          </w:r>
          <w:r>
            <w:tab/>
          </w:r>
          <w:r>
            <w:fldChar w:fldCharType="begin"/>
          </w:r>
          <w:r>
            <w:instrText xml:space="preserve"> PAGEREF _Toc32454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right" w:pos="9600"/>
            </w:tabs>
          </w:pPr>
          <w:r>
            <w:fldChar w:fldCharType="begin"/>
          </w:r>
          <w:r>
            <w:instrText xml:space="preserve"> HYPERLINK \l _Toc31892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工科</w:t>
          </w:r>
          <w:r>
            <w:rPr>
              <w:rFonts w:hint="eastAsia"/>
            </w:rPr>
            <w:t xml:space="preserve"> STEM专业（即科学、技术、工程、数学，下文统一用 “理工科”代指）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_Toc31892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fldChar w:fldCharType="begin"/>
          </w:r>
          <w:r>
            <w:instrText xml:space="preserve"> HYPERLINK \l _Toc10697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第二节 FAME（金融、会计、管理、经济学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_Toc10697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商科 主要是fame</w:t>
          </w:r>
          <w:r>
            <w:tab/>
          </w:r>
          <w:r>
            <w:fldChar w:fldCharType="begin"/>
          </w:r>
          <w:r>
            <w:instrText xml:space="preserve"> PAGEREF _Toc11193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_Toc20719 </w:instrText>
          </w:r>
          <w:r>
            <w:fldChar w:fldCharType="separate"/>
          </w:r>
          <w:r>
            <w:rPr>
              <w:rFonts w:hint="default"/>
            </w:rPr>
            <w:t xml:space="preserve">4.4. </w:t>
          </w:r>
          <w:r>
            <w:t>ISM（工业、科学、医疗）</w:t>
          </w:r>
          <w:r>
            <w:tab/>
          </w:r>
          <w:r>
            <w:fldChar w:fldCharType="begin"/>
          </w:r>
          <w:r>
            <w:instrText xml:space="preserve"> PAGEREF _Toc20719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文科</w:t>
          </w:r>
          <w:r>
            <w:tab/>
          </w:r>
          <w:r>
            <w:fldChar w:fldCharType="begin"/>
          </w:r>
          <w:r>
            <w:instrText xml:space="preserve"> PAGEREF _Toc18731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7902"/>
      <w:r>
        <w:rPr>
          <w:rFonts w:hint="eastAsia"/>
        </w:rPr>
        <w:t>三大类型  学术型  应用型  职业技术教育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CIP-2000学科群设置情况总表</w:t>
      </w:r>
      <w:r>
        <w:rPr>
          <w:rFonts w:hint="eastAsia"/>
          <w:lang w:val="en-US" w:eastAsia="zh-CN"/>
        </w:rPr>
        <w:t xml:space="preserve">  17个大类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jc w:val="center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bookmarkStart w:id="1" w:name="t1"/>
      <w:bookmarkEnd w:id="1"/>
      <w:bookmarkStart w:id="2" w:name="_Toc27178"/>
      <w:bookmarkEnd w:id="2"/>
      <w:bookmarkStart w:id="3" w:name="_Toc4717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FFFFFF"/>
        </w:rPr>
        <w:t>附表1、CIP-2000学科群设置情况总表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17个大类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交叉学科,人文科学,社会科学,理学,工学,医学,工商管理,教育学,农学,法学,建筑学,艺术学,公共管理,新闻学,图书馆学,神学,职业技术</w:t>
      </w:r>
    </w:p>
    <w:p>
      <w:pPr>
        <w:rPr>
          <w:rFonts w:hint="default"/>
          <w:lang w:val="en-US" w:eastAsia="zh-CN"/>
        </w:rPr>
      </w:pPr>
    </w:p>
    <w:tbl>
      <w:tblPr>
        <w:tblW w:w="332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1"/>
        <w:gridCol w:w="1661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学科大类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交叉学科</w:t>
            </w:r>
          </w:p>
        </w:tc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学术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型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学位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教育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为主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人文科学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社会科学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理学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工学</w:t>
            </w:r>
          </w:p>
        </w:tc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应用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型与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专业学位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教育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为主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医学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工商管理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教育学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农学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法学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建筑学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艺术学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公共管理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新闻学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图书馆学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神学</w:t>
            </w: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职业技术</w:t>
            </w:r>
          </w:p>
        </w:tc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职业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技术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教育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494949"/>
                <w:sz w:val="16"/>
                <w:szCs w:val="16"/>
                <w:bdr w:val="none" w:color="auto" w:sz="0" w:space="0"/>
              </w:rPr>
              <w:t>为主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color w:val="4F4F4F"/>
                <w:sz w:val="16"/>
                <w:szCs w:val="16"/>
              </w:rPr>
            </w:pPr>
          </w:p>
        </w:tc>
      </w:tr>
    </w:tbl>
    <w:p/>
    <w:p>
      <w:pPr>
        <w:pStyle w:val="2"/>
        <w:bidi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bookmarkStart w:id="4" w:name="_Toc16236"/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三大层次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分类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学科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专业</w:t>
      </w:r>
      <w:bookmarkEnd w:id="4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生活层次  衣食住行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吃喝玩乐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动植物农牧渔猎学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医学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文艺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军事与打猎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商业与高级类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传播与新闻学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工商管理学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工学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工程学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管理学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计算机信息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经济学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其他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职业技术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自然科学、理学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自然科学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生物学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教育学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历史</w:t>
      </w:r>
      <w:bookmarkStart w:id="19" w:name="_GoBack"/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高级类 精神文明类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公共管理与社会服务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法学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社会科学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神学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bookmarkStart w:id="5" w:name="t3"/>
      <w:bookmarkEnd w:id="5"/>
      <w:bookmarkStart w:id="6" w:name="_Toc8268"/>
      <w:bookmarkEnd w:id="6"/>
      <w:bookmarkStart w:id="7" w:name="_Toc30875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20个知识大类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传播与新闻学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动植物农牧渔猎学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法学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工商管理学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工学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工程学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公共管理与社会服务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管理学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计算机信息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教育学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经济学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军事与打猎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历史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其他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社会科学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神学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文艺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医学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职业技术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自然科学、理学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自然科学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生物学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20个知识大类,, ,,传播与新闻学,,动植物农牧渔猎学,,法学,,工商管理学,,工学 工程学,,公共管理与社会服务,,管理学,,计算机信息,,教育学,,经济学,,军事与打猎,,历史,,其他,,社会科学,,神学,,文艺,,医学,,职业技术,,自然科学、理学,,自然科学-生物学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bidi w:val="0"/>
        <w:rPr>
          <w:rFonts w:hint="eastAsia"/>
        </w:rPr>
      </w:pPr>
      <w:bookmarkStart w:id="8" w:name="t4"/>
      <w:bookmarkEnd w:id="8"/>
      <w:bookmarkStart w:id="9" w:name="_Toc7320"/>
      <w:bookmarkEnd w:id="9"/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  <w:t>需要注</w:t>
      </w:r>
      <w:r>
        <w:rPr>
          <w:rFonts w:hint="eastAsia"/>
        </w:rPr>
        <w:t>意的问题 破除地域主义，比如本区域历史，外国历史</w:t>
      </w:r>
    </w:p>
    <w:p>
      <w:pPr>
        <w:bidi w:val="0"/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</w:pPr>
      <w:bookmarkStart w:id="10" w:name="t5"/>
      <w:bookmarkEnd w:id="10"/>
      <w:bookmarkStart w:id="11" w:name="_Toc18506"/>
      <w:bookmarkEnd w:id="11"/>
      <w:r>
        <w:rPr>
          <w:rFonts w:hint="eastAsia"/>
        </w:rPr>
        <w:t>破除宗教主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  <w:t>义，比如马克思主义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  <w:t> 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  <w:t>外国宗教</w:t>
      </w:r>
    </w:p>
    <w:p>
      <w:pPr>
        <w:bidi w:val="0"/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</w:pPr>
    </w:p>
    <w:p>
      <w:pPr>
        <w:bidi w:val="0"/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88" w:beforeAutospacing="0" w:after="288" w:afterAutospacing="0" w:line="15" w:lineRule="atLeast"/>
        <w:ind w:left="0" w:right="0"/>
        <w:rPr>
          <w:b/>
          <w:sz w:val="28"/>
          <w:szCs w:val="28"/>
        </w:rPr>
      </w:pPr>
      <w:bookmarkStart w:id="12" w:name="_Toc18171"/>
      <w:r>
        <w:rPr>
          <w:b/>
          <w:sz w:val="28"/>
          <w:szCs w:val="28"/>
        </w:rPr>
        <w:t>Atitit 人文社科专业体系attilax总结</w:t>
      </w:r>
      <w:bookmarkEnd w:id="1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3810" b="381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3" w:lineRule="atLeast"/>
        <w:ind w:left="168"/>
        <w:jc w:val="left"/>
        <w:rPr>
          <w:b/>
          <w:color w:val="444444"/>
          <w:sz w:val="18"/>
          <w:szCs w:val="18"/>
        </w:rPr>
      </w:pP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instrText xml:space="preserve"> HYPERLINK "https://www.zhihu.com/people/ati-att" \t "https://zhuanlan.zhihu.com/p/_blank" </w:instrText>
      </w: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b/>
          <w:sz w:val="18"/>
          <w:szCs w:val="18"/>
          <w:u w:val="none"/>
        </w:rPr>
        <w:t>ati att</w:t>
      </w: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16"/>
          <w:szCs w:val="16"/>
          <w:lang w:val="en-US" w:eastAsia="zh-CN" w:bidi="ar"/>
        </w:rPr>
        <w:t>1 人赞同了该文章</w:t>
      </w:r>
    </w:p>
    <w:p>
      <w:pPr>
        <w:pStyle w:val="13"/>
        <w:keepNext w:val="0"/>
        <w:keepLines w:val="0"/>
        <w:widowControl/>
        <w:suppressLineNumbers w:val="0"/>
        <w:spacing w:before="240" w:beforeAutospacing="0" w:after="294" w:afterAutospacing="0" w:line="19" w:lineRule="atLeast"/>
        <w:ind w:left="0" w:right="0"/>
      </w:pPr>
      <w:r>
        <w:t>Atitit 人文社科专业体系attilax总结</w:t>
      </w:r>
    </w:p>
    <w:p>
      <w:pPr>
        <w:pStyle w:val="13"/>
        <w:keepNext w:val="0"/>
        <w:keepLines w:val="0"/>
        <w:widowControl/>
        <w:suppressLineNumbers w:val="0"/>
        <w:spacing w:before="72" w:beforeAutospacing="0" w:line="19" w:lineRule="atLeast"/>
        <w:ind w:left="0" w:right="0"/>
      </w:pPr>
    </w:p>
    <w:p>
      <w:pPr>
        <w:pStyle w:val="13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</w:pPr>
      <w:r>
        <w:t>人文社科类指的是人文与社科两大类。人文指人类社会的各种文化现象，社科即指社会科学。</w:t>
      </w:r>
    </w:p>
    <w:p>
      <w:pPr>
        <w:pStyle w:val="13"/>
        <w:keepNext w:val="0"/>
        <w:keepLines w:val="0"/>
        <w:widowControl/>
        <w:suppressLineNumbers w:val="0"/>
        <w:spacing w:before="72" w:beforeAutospacing="0" w:line="19" w:lineRule="atLeast"/>
        <w:ind w:left="0" w:right="0"/>
      </w:pPr>
    </w:p>
    <w:p>
      <w:pPr>
        <w:bidi w:val="0"/>
        <w:rPr>
          <w:rStyle w:val="16"/>
          <w:rFonts w:hint="eastAsia" w:ascii="宋体" w:hAnsi="宋体" w:eastAsia="宋体" w:cs="宋体"/>
          <w:b/>
          <w:i w:val="0"/>
          <w:caps w:val="0"/>
          <w:color w:val="4F4F4F"/>
          <w:spacing w:val="0"/>
          <w:szCs w:val="28"/>
          <w:bdr w:val="none" w:color="auto" w:sz="0" w:space="0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Atitit 经济金融等“文科”专业 理科 STEM专业</w:t>
      </w:r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pStyle w:val="2"/>
        <w:bidi w:val="0"/>
        <w:rPr>
          <w:rFonts w:hint="eastAsia"/>
        </w:rPr>
      </w:pPr>
      <w:bookmarkStart w:id="13" w:name="_Toc32454"/>
      <w:r>
        <w:rPr>
          <w:rFonts w:hint="eastAsia"/>
          <w:lang w:val="en-US" w:eastAsia="zh-CN"/>
        </w:rPr>
        <w:t xml:space="preserve">文理科分类法 </w:t>
      </w:r>
      <w:r>
        <w:rPr>
          <w:rFonts w:hint="eastAsia"/>
        </w:rPr>
        <w:t>文科”专业  理工科</w:t>
      </w:r>
      <w:bookmarkEnd w:id="13"/>
      <w:r>
        <w:rPr>
          <w:rFonts w:hint="eastAsia"/>
        </w:rPr>
        <w:tab/>
      </w:r>
    </w:p>
    <w:p>
      <w:pPr>
        <w:pStyle w:val="3"/>
        <w:bidi w:val="0"/>
        <w:rPr>
          <w:rFonts w:hint="eastAsia"/>
        </w:rPr>
      </w:pPr>
      <w:bookmarkStart w:id="14" w:name="_Toc31892"/>
      <w:r>
        <w:rPr>
          <w:rFonts w:hint="eastAsia"/>
          <w:lang w:val="en-US" w:eastAsia="zh-CN"/>
        </w:rPr>
        <w:t>工科</w:t>
      </w:r>
      <w:r>
        <w:rPr>
          <w:rFonts w:hint="eastAsia"/>
        </w:rPr>
        <w:t xml:space="preserve"> STEM专业（即科学、技术、工程、数学，下文统一用 “理工科”代指）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14"/>
    </w:p>
    <w:p>
      <w:pPr>
        <w:pStyle w:val="3"/>
        <w:bidi w:val="0"/>
        <w:rPr>
          <w:rFonts w:hint="eastAsia"/>
        </w:rPr>
      </w:pPr>
      <w:bookmarkStart w:id="15" w:name="_Toc10697"/>
      <w:r>
        <w:rPr>
          <w:rFonts w:hint="eastAsia"/>
        </w:rPr>
        <w:t>第二节 FAME（金融、会计、管理、经济学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1193"/>
      <w:r>
        <w:rPr>
          <w:rFonts w:hint="eastAsia"/>
          <w:lang w:val="en-US" w:eastAsia="zh-CN"/>
        </w:rPr>
        <w:t>商科 主要是fame</w:t>
      </w:r>
      <w:bookmarkEnd w:id="16"/>
    </w:p>
    <w:p>
      <w:pPr>
        <w:pStyle w:val="3"/>
        <w:bidi w:val="0"/>
      </w:pPr>
      <w:bookmarkStart w:id="17" w:name="_Toc20719"/>
      <w:r>
        <w:t>ISM（工业、科学、医疗）</w:t>
      </w:r>
      <w:bookmarkEnd w:id="17"/>
    </w:p>
    <w:p/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这三个领域可以随便用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8731"/>
      <w:r>
        <w:rPr>
          <w:rFonts w:hint="eastAsia"/>
          <w:lang w:val="en-US" w:eastAsia="zh-CN"/>
        </w:rPr>
        <w:t>文科</w:t>
      </w:r>
      <w:bookmarkEnd w:id="18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1A5A"/>
    <w:multiLevelType w:val="multilevel"/>
    <w:tmpl w:val="0DF01A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5B71"/>
    <w:rsid w:val="02581057"/>
    <w:rsid w:val="05684DB7"/>
    <w:rsid w:val="06185B25"/>
    <w:rsid w:val="08DC0770"/>
    <w:rsid w:val="0BAB2CEE"/>
    <w:rsid w:val="0C3B3CE9"/>
    <w:rsid w:val="1DAA1969"/>
    <w:rsid w:val="1E10609A"/>
    <w:rsid w:val="1EE36DDB"/>
    <w:rsid w:val="2084278F"/>
    <w:rsid w:val="237641F4"/>
    <w:rsid w:val="27AD1DF2"/>
    <w:rsid w:val="29B717A2"/>
    <w:rsid w:val="2B1356A8"/>
    <w:rsid w:val="2C6A1B01"/>
    <w:rsid w:val="367D2255"/>
    <w:rsid w:val="377E4962"/>
    <w:rsid w:val="37C92C80"/>
    <w:rsid w:val="3E1C035C"/>
    <w:rsid w:val="3E541AC7"/>
    <w:rsid w:val="41A03416"/>
    <w:rsid w:val="4473684C"/>
    <w:rsid w:val="471B4F10"/>
    <w:rsid w:val="497A0E74"/>
    <w:rsid w:val="4AD66DC3"/>
    <w:rsid w:val="4BD44AF9"/>
    <w:rsid w:val="4DBF75C0"/>
    <w:rsid w:val="4FB24454"/>
    <w:rsid w:val="50F501AD"/>
    <w:rsid w:val="549A69E4"/>
    <w:rsid w:val="60F36A9B"/>
    <w:rsid w:val="62C8680D"/>
    <w:rsid w:val="67034D82"/>
    <w:rsid w:val="6A30736D"/>
    <w:rsid w:val="6C9C43EA"/>
    <w:rsid w:val="751B73EF"/>
    <w:rsid w:val="75EF04FF"/>
    <w:rsid w:val="76DD3BB8"/>
    <w:rsid w:val="77CA36D1"/>
    <w:rsid w:val="7A796EA3"/>
    <w:rsid w:val="7BF632C3"/>
    <w:rsid w:val="7DC92978"/>
    <w:rsid w:val="7F5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ati-att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2020-09-28T00:59:12Z</dcterms:created>
  <dc:creator>u</dc:creator>
  <cp:lastModifiedBy>u</cp:lastModifiedBy>
  <dcterms:modified xsi:type="dcterms:W3CDTF">2020-09-28T01:15:08Z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