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民法总则 民法通则读后感  对民法的理解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主体之间的人身、财产关系，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>古老民法分类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物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eastAsia="zh-CN"/>
        </w:rPr>
        <w:t>权法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、、婚姻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、继承等民法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 xml:space="preserve">  合同约定</w:t>
      </w:r>
    </w:p>
    <w:p>
      <w:pPr>
        <w:rPr>
          <w:rFonts w:hint="eastAsia" w:ascii="微软雅黑" w:hAnsi="微软雅黑" w:eastAsia="宋体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,担保法,侵权责任法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97381"/>
    <w:rsid w:val="05D16DA9"/>
    <w:rsid w:val="38D270FE"/>
    <w:rsid w:val="41453853"/>
    <w:rsid w:val="44AE048D"/>
    <w:rsid w:val="47F77DD9"/>
    <w:rsid w:val="4F397381"/>
    <w:rsid w:val="71B148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2018-10-22T11:00:00Z</dcterms:created>
  <dc:creator>ATI老哇的爪子007</dc:creator>
  <cp:lastModifiedBy>ATI老哇的爪子007</cp:lastModifiedBy>
  <dcterms:modified xsi:type="dcterms:W3CDTF">2018-10-22T11:05:17Z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