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</w:t>
      </w:r>
      <w:bookmarkStart w:id="1" w:name="OLE_LINK2"/>
      <w:r>
        <w:rPr>
          <w:rFonts w:hint="eastAsia"/>
          <w:lang w:val="en-US" w:eastAsia="zh-CN"/>
        </w:rPr>
        <w:t>印度宪法</w:t>
      </w:r>
      <w:bookmarkEnd w:id="1"/>
      <w:r>
        <w:rPr>
          <w:rFonts w:hint="eastAsia"/>
          <w:lang w:val="en-US" w:eastAsia="zh-CN"/>
        </w:rPr>
        <w:t>架构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序 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_Toc25466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第一篇 联邦及其领土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_Toc19038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第二篇 公民资格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_Toc9751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第三篇 基本权利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第四篇 国家政策之</w:t>
      </w:r>
      <w:bookmarkStart w:id="2" w:name="OLE_LINK3"/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指导原则</w:t>
      </w:r>
      <w:bookmarkEnd w:id="2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第四篇（a） 基本义务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第五篇 联 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第六篇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各邦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_Toc13388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第七便 歌榜列表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_Toc8038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第八篇中央</w:t>
      </w:r>
      <w:bookmarkStart w:id="3" w:name="OLE_LINK4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直辖区</w:t>
      </w:r>
      <w:bookmarkEnd w:id="3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第十篇表列地区和部落地区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第十一篇联邦与各邦的关系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第十二篇财政、财产、契约及诉讼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第十三篇印度境内的贸易、商业和交往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_Toc30249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第十四篇联邦和各邦公务员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_Toc9250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第十五篇选举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_Toc9250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第十六篇</w:t>
      </w:r>
      <w:bookmarkStart w:id="4" w:name="OLE_LINK5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对某些公民阶层的特殊规定</w:t>
      </w:r>
      <w:bookmarkEnd w:id="4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第十七篇官方语言文字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_Toc31373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第十八篇</w:t>
      </w:r>
      <w:bookmarkStart w:id="5" w:name="OLE_LINK6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紧急状态</w:t>
      </w:r>
      <w:bookmarkEnd w:id="5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_Toc31373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第十九篇其他事项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第二十篇本宪法之修正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第二十一篇</w:t>
      </w:r>
      <w:bookmarkStart w:id="6" w:name="OLE_LINK7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临时性、过渡性条款和特别条款</w:t>
      </w:r>
      <w:bookmarkEnd w:id="6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第二十二篇</w:t>
      </w:r>
      <w:bookmarkStart w:id="7" w:name="OLE_LINK8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简称、开始实施日期及废除</w:t>
      </w:r>
      <w:bookmarkEnd w:id="7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_Toc22646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》》》</w:t>
      </w:r>
      <w:bookmarkStart w:id="8" w:name="OLE_LINK9"/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各种附表</w:t>
      </w:r>
      <w:bookmarkEnd w:id="8"/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6419"/>
      <w:r>
        <w:rPr>
          <w:rFonts w:hint="eastAsia"/>
          <w:lang w:val="en-US" w:eastAsia="zh-CN"/>
        </w:rPr>
        <w:t>序 言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我们印度人民已庄严决定，将印度建成为主权的社会主义的非宗教性的民主共和国，并确保一切公民：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在社会、经济与政治方面享有公正；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思想、表达、信念信仰与崇拜的自由；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在地位与机会方面的平等；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在人民中间提倡友爱以维护个人尊严和国家的统一和领土完整；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鉴此，我们制宪会议于1949年11月26日通过，制定了本宪法并将其公布于众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印度宪法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5466"/>
      <w:r>
        <w:rPr>
          <w:rFonts w:hint="eastAsia"/>
          <w:lang w:val="en-US" w:eastAsia="zh-CN"/>
        </w:rPr>
        <w:t>第一篇 联邦及其领土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第一款 印度为联邦制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第三款 印度领土包括：1、各邦领土；2、第一附表所列之中央直辖区领土；3、将采取得之其他领土。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1" w:name="_Toc19038"/>
      <w:r>
        <w:rPr>
          <w:rFonts w:hint="eastAsia"/>
          <w:lang w:val="en-US" w:eastAsia="zh-CN"/>
        </w:rPr>
        <w:t>第二篇 公民资格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第五条 宪法开始实施时的公民资格——在本宪法</w:t>
      </w:r>
      <w:bookmarkStart w:id="12" w:name="OLE_LINK10"/>
      <w:bookmarkStart w:id="34" w:name="_GoBack"/>
      <w:r>
        <w:rPr>
          <w:rFonts w:hint="eastAsia"/>
          <w:lang w:val="en-US" w:eastAsia="zh-CN"/>
        </w:rPr>
        <w:t>开始实施时，凡在印度领土内的有住</w:t>
      </w:r>
      <w:bookmarkEnd w:id="12"/>
      <w:bookmarkEnd w:id="34"/>
      <w:r>
        <w:rPr>
          <w:rFonts w:hint="eastAsia"/>
          <w:lang w:val="en-US" w:eastAsia="zh-CN"/>
        </w:rPr>
        <w:t>所，并在印度领土内出生者；或父母任何一方在印度领土内出生者；或宪法实施前夕在印度领土内正常居住不少于五年者，为印度公民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9751"/>
      <w:r>
        <w:rPr>
          <w:rFonts w:hint="eastAsia"/>
          <w:lang w:val="en-US" w:eastAsia="zh-CN"/>
        </w:rPr>
        <w:t>第三篇 基本权利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31148"/>
      <w:r>
        <w:rPr>
          <w:rFonts w:hint="eastAsia"/>
          <w:lang w:val="en-US" w:eastAsia="zh-CN"/>
        </w:rPr>
        <w:t>第四篇 国家政策之指导原则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第一款 国家应保障社会秩序以增进人民福利——国家立于一切体制之中，以此尽力有效地保障和维护社会秩序，以社会、经济与政治正义贯输国民生活。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第二款 国家尤应致力于缩小收入上的不平等，努力消除个人之间，居住于不同地区，或从事不同职业的个人或公民集团之间在地位、设施和机会方面的不平等。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第三十九条 国家应遵循的政策原则——国家应使其政策致力于保证：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（1）一切男女公民平等享有适当谋生手段权利；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（2）新区物质资源之占有权与控制权之分配应促进公共利益最为有利；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（3）经济制度之运行不应造成财富与生产资料之集中因而损害公众利益；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17117"/>
      <w:r>
        <w:rPr>
          <w:rFonts w:hint="eastAsia"/>
          <w:lang w:val="en-US" w:eastAsia="zh-CN"/>
        </w:rPr>
        <w:t>第四篇（a） 基本义务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第五十一条（a） 基本义务——每个公民应克尽下列义务：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（1）遵守宪法，尊重它的思想和规定，尊敬国旗和国歌。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（2）珍视和遵循我们为争取自由而进行民族斗争中激发出的崇高思想。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（3）维护印度主权统一和领土完整。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（4）保卫国家，奉到召唤时为国家服役。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（5）促进在印度全体人民中提倡超越宗教、语言、地区和派别差别的和谐和兄弟般的友爱精神；摒弃有损妇女尊严的习惯。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（6）珍视和保存我们共同文化的丰富遗产。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（7）保护和改善自然环境，包括森林、湖泊、河流、野生生物，爱护动物。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（8）发展科学精神、人道主义和探索改革精神。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（9）保护公共财产，摒弃暴力。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（10）在个人和集体活动中争取优秀成绩，使国家不断在更高的水平上奋斗进取，创立功业。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29420"/>
      <w:r>
        <w:rPr>
          <w:rFonts w:hint="eastAsia"/>
          <w:lang w:val="en-US" w:eastAsia="zh-CN"/>
        </w:rPr>
        <w:t>第五篇 联 邦</w:t>
      </w:r>
      <w:bookmarkEnd w:id="16"/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 政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总统与副总统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第二节国家机构(行政、立法、司法)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31112"/>
      <w:r>
        <w:t>第六篇</w:t>
      </w:r>
      <w:r>
        <w:rPr>
          <w:rFonts w:hint="eastAsia"/>
          <w:lang w:val="en-US" w:eastAsia="zh-CN"/>
        </w:rPr>
        <w:t xml:space="preserve">  </w:t>
      </w:r>
      <w:r>
        <w:t>各邦</w:t>
      </w:r>
      <w:bookmarkEnd w:id="17"/>
    </w:p>
    <w:p>
      <w:r>
        <w:t>邦 长</w:t>
      </w:r>
      <w:r>
        <w:br w:type="textWrapping"/>
      </w:r>
    </w:p>
    <w:p>
      <w:pPr>
        <w:pStyle w:val="2"/>
        <w:rPr>
          <w:rFonts w:hint="eastAsia"/>
          <w:lang w:val="en-US" w:eastAsia="zh-CN"/>
        </w:rPr>
      </w:pPr>
      <w:bookmarkStart w:id="18" w:name="_Toc13388"/>
      <w:r>
        <w:rPr>
          <w:rFonts w:hint="eastAsia"/>
          <w:lang w:eastAsia="zh-CN"/>
        </w:rPr>
        <w:t>第七便</w:t>
      </w:r>
      <w:r>
        <w:rPr>
          <w:rFonts w:hint="eastAsia"/>
          <w:lang w:val="en-US" w:eastAsia="zh-CN"/>
        </w:rPr>
        <w:t xml:space="preserve"> 歌榜列表</w:t>
      </w:r>
      <w:bookmarkEnd w:id="18"/>
    </w:p>
    <w:p>
      <w:pPr>
        <w:pStyle w:val="2"/>
      </w:pPr>
      <w:bookmarkStart w:id="19" w:name="_Toc8038"/>
      <w:r>
        <w:t>第八篇中央直辖区</w:t>
      </w:r>
      <w:bookmarkEnd w:id="19"/>
    </w:p>
    <w:p/>
    <w:p>
      <w:pPr>
        <w:pStyle w:val="2"/>
      </w:pPr>
      <w:bookmarkStart w:id="20" w:name="_Toc13905"/>
      <w:r>
        <w:t>第十篇表列地区和部落地区</w:t>
      </w:r>
      <w:r>
        <w:br w:type="textWrapping"/>
      </w:r>
      <w:bookmarkEnd w:id="20"/>
    </w:p>
    <w:p>
      <w:pPr>
        <w:pStyle w:val="2"/>
      </w:pPr>
      <w:bookmarkStart w:id="21" w:name="_Toc10648"/>
      <w:r>
        <w:t>第十一篇联邦与各邦的关系</w:t>
      </w:r>
      <w:r>
        <w:br w:type="textWrapping"/>
      </w:r>
      <w:bookmarkEnd w:id="21"/>
    </w:p>
    <w:p>
      <w:bookmarkStart w:id="22" w:name="_Toc9630"/>
      <w:r>
        <w:rPr>
          <w:rStyle w:val="22"/>
        </w:rPr>
        <w:t>第十二篇财政、财产、契约及诉讼</w:t>
      </w:r>
      <w:r>
        <w:rPr>
          <w:rStyle w:val="22"/>
        </w:rPr>
        <w:br w:type="textWrapping"/>
      </w:r>
      <w:r>
        <w:rPr>
          <w:rStyle w:val="22"/>
        </w:rPr>
        <w:t>第十三篇印度境内的贸易、商业和交往</w:t>
      </w:r>
      <w:r>
        <w:rPr>
          <w:rStyle w:val="22"/>
        </w:rPr>
        <w:br w:type="textWrapping"/>
      </w:r>
      <w:bookmarkEnd w:id="22"/>
    </w:p>
    <w:p/>
    <w:p>
      <w:pPr>
        <w:pStyle w:val="2"/>
      </w:pPr>
      <w:bookmarkStart w:id="23" w:name="_Toc30249"/>
      <w:r>
        <w:t>第十四篇联邦和各邦公务员</w:t>
      </w:r>
      <w:bookmarkEnd w:id="23"/>
    </w:p>
    <w:p>
      <w:pPr>
        <w:pStyle w:val="2"/>
      </w:pPr>
      <w:bookmarkStart w:id="24" w:name="_Toc9250"/>
      <w:r>
        <w:t>第十五篇选举</w:t>
      </w:r>
      <w:r>
        <w:br w:type="textWrapping"/>
      </w:r>
      <w:bookmarkEnd w:id="24"/>
    </w:p>
    <w:p>
      <w:pPr>
        <w:pStyle w:val="2"/>
      </w:pPr>
      <w:bookmarkStart w:id="25" w:name="_Toc13080"/>
      <w:r>
        <w:t>第十六篇对某些公民阶层的特殊规定</w:t>
      </w:r>
      <w:bookmarkEnd w:id="25"/>
    </w:p>
    <w:p>
      <w:pPr>
        <w:pStyle w:val="2"/>
      </w:pPr>
      <w:bookmarkStart w:id="26" w:name="_Toc5252"/>
      <w:r>
        <w:t>第十七篇官方语言文字</w:t>
      </w:r>
      <w:bookmarkEnd w:id="26"/>
    </w:p>
    <w:p>
      <w:r>
        <w:br w:type="textWrapping"/>
      </w:r>
    </w:p>
    <w:p>
      <w:pPr>
        <w:pStyle w:val="2"/>
      </w:pPr>
      <w:bookmarkStart w:id="27" w:name="_Toc31373"/>
      <w:r>
        <w:t>第十八篇紧急状态</w:t>
      </w:r>
      <w:r>
        <w:br w:type="textWrapping"/>
      </w:r>
      <w:bookmarkEnd w:id="27"/>
    </w:p>
    <w:p>
      <w:pPr>
        <w:pStyle w:val="2"/>
      </w:pPr>
      <w:bookmarkStart w:id="28" w:name="_Toc18938"/>
      <w:r>
        <w:t>第十九篇其他事项</w:t>
      </w:r>
      <w:r>
        <w:br w:type="textWrapping"/>
      </w:r>
      <w:bookmarkEnd w:id="28"/>
    </w:p>
    <w:p>
      <w:pPr>
        <w:pStyle w:val="2"/>
      </w:pPr>
      <w:bookmarkStart w:id="29" w:name="_Toc13771"/>
      <w:r>
        <w:t>第二十篇本宪法之修正</w:t>
      </w:r>
      <w:r>
        <w:br w:type="textWrapping"/>
      </w:r>
      <w:bookmarkEnd w:id="29"/>
    </w:p>
    <w:p>
      <w:pPr>
        <w:pStyle w:val="2"/>
      </w:pPr>
      <w:bookmarkStart w:id="30" w:name="_Toc2045"/>
      <w:r>
        <w:t>第二十一篇临时性、过渡性条款和特别条款</w:t>
      </w:r>
      <w:bookmarkEnd w:id="30"/>
    </w:p>
    <w:p>
      <w:pPr>
        <w:pStyle w:val="2"/>
      </w:pPr>
      <w:bookmarkStart w:id="31" w:name="_Toc9378"/>
      <w:bookmarkStart w:id="32" w:name="OLE_LINK17"/>
      <w:r>
        <w:t>第二十二篇简称、开始实施日期及废除</w:t>
      </w:r>
      <w:bookmarkEnd w:id="31"/>
    </w:p>
    <w:p/>
    <w:p>
      <w:r>
        <w:br w:type="textWrapping"/>
      </w:r>
      <w:r>
        <w:t>第三百九十三条简称</w:t>
      </w:r>
      <w:r>
        <w:br w:type="textWrapping"/>
      </w:r>
      <w:r>
        <w:t>本宪法可简称为“印度宪法”。</w:t>
      </w:r>
      <w:r>
        <w:br w:type="textWrapping"/>
      </w:r>
      <w:bookmarkEnd w:id="32"/>
      <w:r>
        <w:t>第三百九十四条实施</w:t>
      </w:r>
      <w:r>
        <w:br w:type="textWrapping"/>
      </w:r>
      <w:r>
        <w:t>本条及第五、六、七、八、九、六十、三百二十四、三百六十六、三百六十七、三百七十九、三百八十、三百八十八、三百九十一、三百九十二和三百九十三条，应立即生效；在本宪法其余条款，应于1950年1月26日生效；1950年1月26日在本宪法中称本宪法开始实施日期。</w:t>
      </w:r>
      <w:r>
        <w:br w:type="textWrapping"/>
      </w:r>
      <w:r>
        <w:t>第三百九十五条废除</w:t>
      </w:r>
      <w:r>
        <w:br w:type="textWrapping"/>
      </w:r>
      <w:r>
        <w:t>l947年的“印度独立法”，1935年的“印度政府法”以及修正、补充《印度政府法》的所有法规(不包括1949年“废除枢密院司法权限法令”)自即日起宣告废除。</w:t>
      </w:r>
    </w:p>
    <w:p/>
    <w:p/>
    <w:p>
      <w:pPr>
        <w:pStyle w:val="2"/>
        <w:rPr>
          <w:rFonts w:hint="eastAsia"/>
          <w:lang w:val="en-US" w:eastAsia="zh-CN"/>
        </w:rPr>
      </w:pPr>
      <w:bookmarkStart w:id="33" w:name="_Toc22646"/>
      <w:r>
        <w:rPr>
          <w:rFonts w:hint="eastAsia"/>
          <w:lang w:eastAsia="zh-CN"/>
        </w:rPr>
        <w:t>》》》各种附表</w:t>
      </w:r>
      <w:r>
        <w:rPr>
          <w:rFonts w:hint="eastAsia"/>
        </w:rPr>
        <w:br w:type="textWrapping"/>
      </w:r>
      <w:r>
        <w:br w:type="textWrapping"/>
      </w:r>
      <w:bookmarkEnd w:id="3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7D222"/>
    <w:multiLevelType w:val="multilevel"/>
    <w:tmpl w:val="57C7D222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">
    <w:nsid w:val="57C7D385"/>
    <w:multiLevelType w:val="singleLevel"/>
    <w:tmpl w:val="57C7D385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17D70"/>
    <w:rsid w:val="02B257D2"/>
    <w:rsid w:val="07646EEB"/>
    <w:rsid w:val="09593730"/>
    <w:rsid w:val="0D253874"/>
    <w:rsid w:val="0F930175"/>
    <w:rsid w:val="11B24454"/>
    <w:rsid w:val="142F48A9"/>
    <w:rsid w:val="159D390F"/>
    <w:rsid w:val="1BCA3B3E"/>
    <w:rsid w:val="225254A5"/>
    <w:rsid w:val="27680CC0"/>
    <w:rsid w:val="28B1499A"/>
    <w:rsid w:val="2F4A0513"/>
    <w:rsid w:val="3234374B"/>
    <w:rsid w:val="33E956B9"/>
    <w:rsid w:val="35136227"/>
    <w:rsid w:val="38B245ED"/>
    <w:rsid w:val="3BB04FBA"/>
    <w:rsid w:val="3CEF2848"/>
    <w:rsid w:val="403E4DEB"/>
    <w:rsid w:val="425E4662"/>
    <w:rsid w:val="43396CA4"/>
    <w:rsid w:val="457F0586"/>
    <w:rsid w:val="47A45968"/>
    <w:rsid w:val="49FD5EE4"/>
    <w:rsid w:val="4C715042"/>
    <w:rsid w:val="4CCF7C36"/>
    <w:rsid w:val="4F36716B"/>
    <w:rsid w:val="50112BB2"/>
    <w:rsid w:val="50517D70"/>
    <w:rsid w:val="50A73BDA"/>
    <w:rsid w:val="52754988"/>
    <w:rsid w:val="5362231E"/>
    <w:rsid w:val="577A02B9"/>
    <w:rsid w:val="5784004D"/>
    <w:rsid w:val="5A747891"/>
    <w:rsid w:val="5AC86353"/>
    <w:rsid w:val="5C8924E4"/>
    <w:rsid w:val="61155477"/>
    <w:rsid w:val="61C82ED9"/>
    <w:rsid w:val="625D1E9E"/>
    <w:rsid w:val="6330554C"/>
    <w:rsid w:val="6A2F7A38"/>
    <w:rsid w:val="7304491E"/>
    <w:rsid w:val="73192FA5"/>
    <w:rsid w:val="75BE0EBA"/>
    <w:rsid w:val="786023D2"/>
    <w:rsid w:val="78643430"/>
    <w:rsid w:val="7E4E1A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customStyle="1" w:styleId="2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2016-09-01T06:05:00Z</dcterms:created>
  <dc:creator>Administrator</dc:creator>
  <cp:lastModifiedBy>Administrator</cp:lastModifiedBy>
  <dcterms:modified xsi:type="dcterms:W3CDTF">2016-09-01T06:58:49Z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