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prj </w:t>
      </w:r>
      <w:bookmarkStart w:id="0" w:name="OLE_LINK1"/>
      <w:r>
        <w:rPr>
          <w:rFonts w:hint="eastAsia"/>
          <w:lang w:val="en-US" w:eastAsia="zh-CN"/>
        </w:rPr>
        <w:t>项目</w:t>
      </w:r>
      <w:bookmarkEnd w:id="0"/>
      <w:r>
        <w:rPr>
          <w:rFonts w:hint="eastAsia"/>
          <w:lang w:val="en-US" w:eastAsia="zh-CN"/>
        </w:rPr>
        <w:t>管理与行政管理(1)------项目环境的概览与建立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项目环境包括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环境的4大特点 (1)多样性与复杂性。 (2)差异性。(3)变异性。(4)关联性。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的分类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  <w:t>，最常用使用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  <w:t>lib来分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  <w:t>类库环境，以及vm sdk环境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对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  <w:t>项目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的影响主要表现在：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 xml:space="preserve"> 1．</w:t>
      </w: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行政环境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是行政系统的生存和发展空间。环境特征决定了行政的时代特征及其发展方向与目标。行政活动是适应外部环境的需要而产生的，不同的外部环境需要制约着行政活动的目标、规模及行为方式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行政环境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决定着行政的框架与结构，规定了行政运行的基本规则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．</w:t>
      </w: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行政环境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影响乃至决定行政职能的内容及其实现。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行政环境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影响着行政过程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二、行政与政治法律环境 政治法律环境包括政治制度和法律制度两方面内容。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环境影响行政思维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环境影响行政决策的进行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环境影响行政执行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  <w:t>外部环境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国际政治环境对行政的影响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3．国际文化科技环境对行政的影响。国际文化科技环境的影响使各国之间通过交往，互相学习，取长补短，互通有无。当今世界精神产品已成为人类的共同财富。在新技术革命、新科学不断兴起的今天，各国政府均把发展文教科技作为本国总体发展战略的核心内容，把引进外国科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集成环境wamp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 with plugin环境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 webstorm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 </w:t>
      </w:r>
      <w:r>
        <w:rPr>
          <w:rFonts w:hint="eastAsia"/>
        </w:rPr>
        <w:t xml:space="preserve">IDE </w:t>
      </w:r>
      <w:r>
        <w:t>PyDev 2.6.0</w:t>
      </w:r>
      <w:r>
        <w:rPr>
          <w:rFonts w:hint="eastAsia"/>
        </w:rPr>
        <w:t>.ZIP   7M 。。是个ECLIPSE插件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sdk 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frmwk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python-3.2.3.zip</w:t>
      </w:r>
      <w:r>
        <w:rPr>
          <w:rFonts w:hint="eastAsia"/>
        </w:rPr>
        <w:t xml:space="preserve"> 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Php  wam apache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frmwk lib等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mysql+navicate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Mssql native sql   or   sql enterricess manager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Oracle  + </w:t>
      </w: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</w:rPr>
        <w:t>plsqldev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Resin..  (java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Cassini可以作为小型应用部署，除了发布ASP.NET外没有任何功能...稳定性还可以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1"/>
          <w:szCs w:val="21"/>
          <w:shd w:val="clear" w:fill="F5F5F5"/>
          <w:lang w:val="en-US" w:eastAsia="zh-CN"/>
        </w:rPr>
        <w:t>A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pache  (php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Node.js  使用lib法自己走ok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源码管理环境svn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d git bhaouse ..use totor git..haosyeo hai tsoho 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Ui ide dw.. 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sublime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 逻辑Js ide环境 webstorm..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数据库sql文件</w:t>
      </w:r>
    </w:p>
    <w:p>
      <w:pPr>
        <w:rPr>
          <w:rFonts w:hint="eastAsia"/>
          <w:lang w:val="en-US" w:eastAsia="zh-CN"/>
        </w:rPr>
      </w:pPr>
      <w:bookmarkStart w:id="1" w:name="_Toc23937"/>
      <w:r>
        <w:rPr>
          <w:rFonts w:hint="eastAsia"/>
          <w:lang w:val="en-US" w:eastAsia="zh-CN"/>
        </w:rPr>
        <w:t>db sql file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1184"/>
      <w:r>
        <w:rPr>
          <w:rFonts w:hint="eastAsia"/>
          <w:lang w:val="en-US" w:eastAsia="zh-CN"/>
        </w:rPr>
        <w:t>必备小软件系列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winrar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serv-u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notepad++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0325"/>
      <w:r>
        <w:rPr>
          <w:rFonts w:hint="eastAsia"/>
          <w:lang w:val="en-US" w:eastAsia="zh-CN"/>
        </w:rPr>
        <w:t>其他辅助软件系列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bcompare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explorer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DAEMON Tools Lite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ff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输入法atian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FlashFXP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_Toc32751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eastAsia="宋体"/>
          <w:kern w:val="44"/>
          <w:lang w:val="en-US" w:eastAsia="zh-CN"/>
        </w:rPr>
        <w:t xml:space="preserve">5. </w:t>
      </w:r>
      <w:r>
        <w:rPr>
          <w:rFonts w:hint="eastAsia" w:eastAsia="宋体"/>
          <w:kern w:val="44"/>
          <w:lang w:val="en-US" w:eastAsia="zh-CN"/>
        </w:rPr>
        <w:t>别的工具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_Toc32751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_Toc13476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5.1. </w:t>
      </w:r>
      <w:r>
        <w:rPr>
          <w:rFonts w:hint="eastAsia" w:eastAsia="宋体"/>
          <w:kern w:val="44"/>
          <w:lang w:val="en-US" w:eastAsia="zh-CN"/>
        </w:rPr>
        <w:t>winrar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_Toc13476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_Toc14454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2.4. </w:t>
      </w:r>
      <w:r>
        <w:rPr>
          <w:rFonts w:hint="eastAsia" w:eastAsia="宋体"/>
          <w:kern w:val="44"/>
          <w:lang w:val="en-US" w:eastAsia="zh-CN"/>
        </w:rPr>
        <w:t>bcompare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_Toc14454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_Toc7841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2.5. </w:t>
      </w:r>
      <w:r>
        <w:rPr>
          <w:rFonts w:hint="eastAsia" w:eastAsia="宋体"/>
          <w:kern w:val="44"/>
          <w:lang w:val="en-US" w:eastAsia="zh-CN"/>
        </w:rPr>
        <w:t>finaldata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_Toc7841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_Toc20714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2.6. </w:t>
      </w:r>
      <w:r>
        <w:rPr>
          <w:rFonts w:hint="eastAsia" w:eastAsia="宋体"/>
          <w:kern w:val="44"/>
          <w:lang w:val="en-US" w:eastAsia="zh-CN"/>
        </w:rPr>
        <w:t>inputmethod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_Toc20714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_Toc7846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2.7. </w:t>
      </w:r>
      <w:r>
        <w:rPr>
          <w:rFonts w:hint="eastAsia" w:eastAsia="宋体"/>
          <w:kern w:val="44"/>
          <w:lang w:val="en-US" w:eastAsia="zh-CN"/>
        </w:rPr>
        <w:t>ftp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_Toc7846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4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_Toc3802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2.8. </w:t>
      </w:r>
      <w:r>
        <w:rPr>
          <w:rFonts w:hint="eastAsia" w:eastAsia="宋体"/>
          <w:kern w:val="44"/>
          <w:lang w:val="en-US" w:eastAsia="zh-CN"/>
        </w:rPr>
        <w:t>browser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_Toc3802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4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atitit.研发管理--标准化流程总结---java开发环境与项目部署环境的搭建工具包总结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环境准备单.doc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行政管理学 第二章 行政环境 - MBA智库文档.html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48BE"/>
    <w:multiLevelType w:val="multilevel"/>
    <w:tmpl w:val="580748B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54B8F"/>
    <w:rsid w:val="006F68BC"/>
    <w:rsid w:val="02003D87"/>
    <w:rsid w:val="0303289A"/>
    <w:rsid w:val="03E152DB"/>
    <w:rsid w:val="05ED1C43"/>
    <w:rsid w:val="074E0398"/>
    <w:rsid w:val="090B49E2"/>
    <w:rsid w:val="0D2507FF"/>
    <w:rsid w:val="0E7D773F"/>
    <w:rsid w:val="0ECE1895"/>
    <w:rsid w:val="0F8A7E19"/>
    <w:rsid w:val="10E65A8D"/>
    <w:rsid w:val="122C071D"/>
    <w:rsid w:val="18DF5D5F"/>
    <w:rsid w:val="19D872F4"/>
    <w:rsid w:val="1C7D024F"/>
    <w:rsid w:val="20182134"/>
    <w:rsid w:val="202031A7"/>
    <w:rsid w:val="20B94EB9"/>
    <w:rsid w:val="228B43E0"/>
    <w:rsid w:val="23003BA3"/>
    <w:rsid w:val="24E24056"/>
    <w:rsid w:val="27616092"/>
    <w:rsid w:val="2E1C701E"/>
    <w:rsid w:val="324333F9"/>
    <w:rsid w:val="386666AD"/>
    <w:rsid w:val="3A544460"/>
    <w:rsid w:val="3AB63C44"/>
    <w:rsid w:val="3B62094A"/>
    <w:rsid w:val="3C0807B4"/>
    <w:rsid w:val="3C115859"/>
    <w:rsid w:val="3C782483"/>
    <w:rsid w:val="3CB60464"/>
    <w:rsid w:val="3EA5263B"/>
    <w:rsid w:val="407A3259"/>
    <w:rsid w:val="409A5B4F"/>
    <w:rsid w:val="40CC0959"/>
    <w:rsid w:val="40DB3DB0"/>
    <w:rsid w:val="40EF2497"/>
    <w:rsid w:val="42665B31"/>
    <w:rsid w:val="47F72BC1"/>
    <w:rsid w:val="49A955B3"/>
    <w:rsid w:val="4C1E767A"/>
    <w:rsid w:val="4DA410A0"/>
    <w:rsid w:val="52C35CCC"/>
    <w:rsid w:val="52E82217"/>
    <w:rsid w:val="54EF0731"/>
    <w:rsid w:val="58854B8F"/>
    <w:rsid w:val="5AC44815"/>
    <w:rsid w:val="5ED2405B"/>
    <w:rsid w:val="5F873917"/>
    <w:rsid w:val="62181AE7"/>
    <w:rsid w:val="68004662"/>
    <w:rsid w:val="6AB149BE"/>
    <w:rsid w:val="6AB25F7B"/>
    <w:rsid w:val="6B2726B4"/>
    <w:rsid w:val="6BC1550C"/>
    <w:rsid w:val="6C790CB1"/>
    <w:rsid w:val="6D5459A5"/>
    <w:rsid w:val="6D803179"/>
    <w:rsid w:val="6ED9183E"/>
    <w:rsid w:val="6EEA2C12"/>
    <w:rsid w:val="6F9662B5"/>
    <w:rsid w:val="775065D1"/>
    <w:rsid w:val="77EF5539"/>
    <w:rsid w:val="780F0300"/>
    <w:rsid w:val="7BA70802"/>
    <w:rsid w:val="7BDA1780"/>
    <w:rsid w:val="7CB05D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2016-10-19T09:14:00Z</dcterms:created>
  <dc:creator>Administrator</dc:creator>
  <cp:lastModifiedBy>Administrator</cp:lastModifiedBy>
  <dcterms:modified xsi:type="dcterms:W3CDTF">2016-10-19T10:38:17Z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