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市场营销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▪ 第一章 绪论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▪ 第二章 市场营销环境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▪ 第三章 市场营销调研与预测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▪ 第四章 消费者市场购买行为分析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▪ 第五章 组织市场购买行为分析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▪ 第六章 目标市场营销战略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▪ 第七章 市场竞争战略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▪ 第八章 竞争战略▪ 第九章 价格策略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▪ 第十章 分销策略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▪ 第十一章 促销策略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▪ 第十二章 营销组织和控制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▪ 第十三章 市场营销的新领域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调研与预测 购买行为分析  营销战略  竞争战略      价格策略 </w:t>
      </w:r>
      <w:bookmarkStart w:id="0" w:name="_GoBack"/>
      <w:bookmarkEnd w:id="0"/>
      <w:r>
        <w:rPr>
          <w:rFonts w:hint="eastAsia"/>
          <w:lang w:val="en-US" w:eastAsia="zh-CN"/>
        </w:rPr>
        <w:t xml:space="preserve">  分销策略 ▪ 促销策略  营销组织和控制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BD4B62"/>
    <w:rsid w:val="3AB20FEC"/>
    <w:rsid w:val="4BF279A2"/>
    <w:rsid w:val="62BD4B6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2017-08-26T19:58:00Z</dcterms:created>
  <dc:creator>Administrator</dc:creator>
  <cp:lastModifiedBy>Administrator</cp:lastModifiedBy>
  <dcterms:modified xsi:type="dcterms:W3CDTF">2017-08-26T19:59:55Z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2052-10.1.0.6235</vt:lpwstr>
  </property>
</Properties>
</file>