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大脑消耗的能量</w:t>
      </w:r>
      <w:r>
        <w:rPr>
          <w:rFonts w:ascii="Arial" w:hAnsi="Arial" w:eastAsia="Arial" w:cs="Arial"/>
          <w:i w:val="0"/>
          <w:caps w:val="0"/>
          <w:color w:val="4F4F4F"/>
          <w:spacing w:val="15"/>
          <w:sz w:val="22"/>
          <w:szCs w:val="22"/>
          <w:shd w:val="clear" w:fill="FFFFFF"/>
        </w:rPr>
        <w:t>20瓦能量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15"/>
          <w:sz w:val="22"/>
          <w:szCs w:val="22"/>
          <w:shd w:val="clear" w:fill="FFFFFF"/>
        </w:rPr>
        <w:t>的宣传是造成AI无所不能论调的导火线，在《智能的本质》一书中，皮耶罗就媒体对AI的神化感到不安。在人机围棋大战中，AlphGo每小时耗能约440千瓦，却只能做一件事，而对面的人类棋手只消耗20瓦能量。所以，算个简单的数学题就知道那些神化AI的人算不上“聪明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0B7E"/>
    <w:rsid w:val="387F0B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2018-12-08T11:51:00Z</dcterms:created>
  <dc:creator>ATI老哇的爪子007</dc:creator>
  <cp:lastModifiedBy>ATI老哇的爪子007</cp:lastModifiedBy>
  <dcterms:modified xsi:type="dcterms:W3CDTF">2018-12-08T11:51:21Z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