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信息化与软件的原则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shd w:val="clear" w:fill="FAFAFA"/>
        </w:rPr>
        <w:t>自给自足，</w: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21"/>
          <w:szCs w:val="21"/>
          <w:shd w:val="clear" w:fill="FAFAFA"/>
          <w:lang w:eastAsia="zh-CN"/>
        </w:rPr>
        <w:t>原则</w:t>
      </w:r>
    </w:p>
    <w:p>
      <w:pP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shd w:val="clear" w:fill="FAFAFA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shd w:val="clear" w:fill="FAFAFA"/>
        </w:rPr>
        <w:t>　一个有意思的细节是，尽管中国民用芯片九成依赖进口，但军用芯片却基本能自给自足，甚至还有出口。比如，龙芯就稳定运行在北斗导航系统上。</w:t>
      </w:r>
    </w:p>
    <w:p>
      <w:pPr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另一款自主芯片，来自总参 56 所的申威，则撑起了我们的太湖之光超级计算机。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　军用很出彩，民用却卖不出去？问题就在生态链上。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　军用市场是一个封闭的小圈子，产品追求稳定性和抗干扰，对性能并不敏感。龙芯和申威在这里能找到自己的位置。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3066E"/>
    <w:rsid w:val="04BF74FD"/>
    <w:rsid w:val="26130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2018-11-27T15:44:00Z</dcterms:created>
  <dc:creator>ATI老哇的爪子007</dc:creator>
  <cp:lastModifiedBy>ATI老哇的爪子007</cp:lastModifiedBy>
  <dcterms:modified xsi:type="dcterms:W3CDTF">2018-11-27T15:45:19Z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