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衡量项目的规模</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_Toc28187 </w:instrText>
      </w:r>
      <w:r>
        <w:rPr>
          <w:rFonts w:hint="eastAsia"/>
          <w:lang w:val="en-US" w:eastAsia="zh-CN"/>
        </w:rPr>
        <w:fldChar w:fldCharType="separate"/>
      </w:r>
      <w:r>
        <w:rPr>
          <w:rFonts w:hint="default"/>
          <w:lang w:val="en-US" w:eastAsia="zh-CN"/>
        </w:rPr>
        <w:t xml:space="preserve">1. </w:t>
      </w:r>
      <w:r>
        <w:rPr>
          <w:rFonts w:hint="eastAsia"/>
          <w:lang w:val="en-US" w:eastAsia="zh-CN"/>
        </w:rPr>
        <w:t>预估衡量项目的规模的方法</w:t>
      </w:r>
      <w:r>
        <w:tab/>
      </w:r>
      <w:r>
        <w:fldChar w:fldCharType="begin"/>
      </w:r>
      <w:r>
        <w:instrText xml:space="preserve"> PAGEREF _Toc28187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_Toc2390 </w:instrText>
      </w:r>
      <w:r>
        <w:rPr>
          <w:rFonts w:hint="eastAsia"/>
          <w:lang w:val="en-US" w:eastAsia="zh-CN"/>
        </w:rPr>
        <w:fldChar w:fldCharType="separate"/>
      </w:r>
      <w:r>
        <w:rPr>
          <w:rFonts w:hint="default"/>
        </w:rPr>
        <w:t>1.1. 方法一、Delphi 法</w:t>
      </w:r>
      <w:r>
        <w:tab/>
      </w:r>
      <w:r>
        <w:fldChar w:fldCharType="begin"/>
      </w:r>
      <w:r>
        <w:instrText xml:space="preserve"> PAGEREF _Toc2390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_Toc782 </w:instrText>
      </w:r>
      <w:r>
        <w:rPr>
          <w:rFonts w:hint="eastAsia"/>
          <w:lang w:val="en-US" w:eastAsia="zh-CN"/>
        </w:rPr>
        <w:fldChar w:fldCharType="separate"/>
      </w:r>
      <w:r>
        <w:rPr>
          <w:rFonts w:hint="default"/>
        </w:rPr>
        <w:t>1.2. 方法二、 类比法</w:t>
      </w:r>
      <w:r>
        <w:tab/>
      </w:r>
      <w:r>
        <w:fldChar w:fldCharType="begin"/>
      </w:r>
      <w:r>
        <w:instrText xml:space="preserve"> PAGEREF _Toc782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_Toc12761 </w:instrText>
      </w:r>
      <w:r>
        <w:rPr>
          <w:rFonts w:hint="eastAsia"/>
          <w:lang w:val="en-US" w:eastAsia="zh-CN"/>
        </w:rPr>
        <w:fldChar w:fldCharType="separate"/>
      </w:r>
      <w:r>
        <w:rPr>
          <w:rFonts w:hint="default"/>
        </w:rPr>
        <w:t>1.3. 方法三、功能点估计法</w:t>
      </w:r>
      <w:r>
        <w:tab/>
      </w:r>
      <w:r>
        <w:fldChar w:fldCharType="begin"/>
      </w:r>
      <w:r>
        <w:instrText xml:space="preserve"> PAGEREF _Toc12761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_Toc5904 </w:instrText>
      </w:r>
      <w:r>
        <w:rPr>
          <w:rFonts w:hint="eastAsia"/>
          <w:lang w:val="en-US" w:eastAsia="zh-CN"/>
        </w:rPr>
        <w:fldChar w:fldCharType="separate"/>
      </w:r>
      <w:r>
        <w:rPr>
          <w:rFonts w:hint="default"/>
        </w:rPr>
        <w:t>1.4. 方法四、PERT估计法</w:t>
      </w:r>
      <w:r>
        <w:tab/>
      </w:r>
      <w:r>
        <w:fldChar w:fldCharType="begin"/>
      </w:r>
      <w:r>
        <w:instrText xml:space="preserve"> PAGEREF _Toc5904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_Toc596 </w:instrText>
      </w:r>
      <w:r>
        <w:rPr>
          <w:rFonts w:hint="eastAsia"/>
          <w:lang w:val="en-US" w:eastAsia="zh-CN"/>
        </w:rPr>
        <w:fldChar w:fldCharType="separate"/>
      </w:r>
      <w:r>
        <w:rPr>
          <w:rFonts w:hint="default"/>
          <w:lang w:val="en-US" w:eastAsia="zh-CN"/>
        </w:rPr>
        <w:t xml:space="preserve">2. </w:t>
      </w:r>
      <w:r>
        <w:rPr>
          <w:rFonts w:hint="eastAsia"/>
          <w:lang w:val="en-US" w:eastAsia="zh-CN"/>
        </w:rPr>
        <w:t>统计法</w:t>
      </w:r>
      <w:r>
        <w:tab/>
      </w:r>
      <w:r>
        <w:fldChar w:fldCharType="begin"/>
      </w:r>
      <w:r>
        <w:instrText xml:space="preserve"> PAGEREF _Toc596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_Toc24768 </w:instrText>
      </w:r>
      <w:r>
        <w:rPr>
          <w:rFonts w:hint="eastAsia"/>
          <w:lang w:val="en-US" w:eastAsia="zh-CN"/>
        </w:rPr>
        <w:fldChar w:fldCharType="separate"/>
      </w:r>
      <w:r>
        <w:rPr>
          <w:rFonts w:hint="default"/>
          <w:lang w:val="en-US" w:eastAsia="zh-CN"/>
        </w:rPr>
        <w:t xml:space="preserve">2.1. </w:t>
      </w:r>
      <w:r>
        <w:rPr>
          <w:rFonts w:hint="eastAsia"/>
          <w:lang w:val="en-US" w:eastAsia="zh-CN"/>
        </w:rPr>
        <w:t>代码行数</w:t>
      </w:r>
      <w:r>
        <w:tab/>
      </w:r>
      <w:r>
        <w:fldChar w:fldCharType="begin"/>
      </w:r>
      <w:r>
        <w:instrText xml:space="preserve"> PAGEREF _Toc24768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_Toc20993 </w:instrText>
      </w:r>
      <w:r>
        <w:rPr>
          <w:rFonts w:hint="eastAsia"/>
          <w:lang w:val="en-US" w:eastAsia="zh-CN"/>
        </w:rPr>
        <w:fldChar w:fldCharType="separate"/>
      </w:r>
      <w:r>
        <w:rPr>
          <w:rFonts w:hint="default"/>
        </w:rPr>
        <w:t xml:space="preserve">2.2. </w:t>
      </w:r>
      <w:r>
        <w:t>类或函数的数量和大小</w:t>
      </w:r>
      <w:r>
        <w:tab/>
      </w:r>
      <w:r>
        <w:fldChar w:fldCharType="begin"/>
      </w:r>
      <w:r>
        <w:instrText xml:space="preserve"> PAGEREF _Toc20993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_Toc20770 </w:instrText>
      </w:r>
      <w:r>
        <w:rPr>
          <w:rFonts w:hint="eastAsia"/>
          <w:lang w:val="en-US" w:eastAsia="zh-CN"/>
        </w:rPr>
        <w:fldChar w:fldCharType="separate"/>
      </w:r>
      <w:r>
        <w:rPr>
          <w:rFonts w:hint="default"/>
        </w:rPr>
        <w:t xml:space="preserve">2.3. </w:t>
      </w:r>
      <w:r>
        <w:rPr>
          <w:rFonts w:hint="eastAsia"/>
        </w:rPr>
        <w:t>圈复杂度</w:t>
      </w:r>
      <w:r>
        <w:tab/>
      </w:r>
      <w:r>
        <w:fldChar w:fldCharType="begin"/>
      </w:r>
      <w:r>
        <w:instrText xml:space="preserve"> PAGEREF _Toc20770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_Toc12735 </w:instrText>
      </w:r>
      <w:r>
        <w:rPr>
          <w:rFonts w:hint="eastAsia"/>
          <w:lang w:val="en-US" w:eastAsia="zh-CN"/>
        </w:rPr>
        <w:fldChar w:fldCharType="separate"/>
      </w:r>
      <w:r>
        <w:rPr>
          <w:rFonts w:hint="default"/>
        </w:rPr>
        <w:t xml:space="preserve">2.4. </w:t>
      </w:r>
      <w:r>
        <w:t>LOC(Line of Code),LOC指</w:t>
      </w:r>
      <w:r>
        <w:tab/>
      </w:r>
      <w:r>
        <w:fldChar w:fldCharType="begin"/>
      </w:r>
      <w:r>
        <w:instrText xml:space="preserve"> PAGEREF _Toc12735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_Toc12766 </w:instrText>
      </w:r>
      <w:r>
        <w:rPr>
          <w:rFonts w:hint="eastAsia"/>
          <w:lang w:val="en-US" w:eastAsia="zh-CN"/>
        </w:rPr>
        <w:fldChar w:fldCharType="separate"/>
      </w:r>
      <w:r>
        <w:rPr>
          <w:rFonts w:hint="default"/>
          <w:lang w:val="en-US" w:eastAsia="zh-CN"/>
        </w:rPr>
        <w:t xml:space="preserve">3. </w:t>
      </w:r>
      <w:r>
        <w:rPr>
          <w:rFonts w:hint="eastAsia"/>
          <w:lang w:val="en-US" w:eastAsia="zh-CN"/>
        </w:rPr>
        <w:t>参考资料</w:t>
      </w:r>
      <w:r>
        <w:tab/>
      </w:r>
      <w:r>
        <w:fldChar w:fldCharType="begin"/>
      </w:r>
      <w:r>
        <w:instrText xml:space="preserve"> PAGEREF _Toc12766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pPr>
      <w:bookmarkStart w:id="0" w:name="_Toc28187"/>
      <w:r>
        <w:rPr>
          <w:rFonts w:hint="eastAsia"/>
          <w:lang w:val="en-US" w:eastAsia="zh-CN"/>
        </w:rPr>
        <w:t>预估衡量项目的规模的方法</w:t>
      </w:r>
      <w:bookmarkEnd w:id="0"/>
    </w:p>
    <w:p>
      <w:pPr>
        <w:pStyle w:val="3"/>
      </w:pPr>
      <w:bookmarkStart w:id="1" w:name="_Toc2390"/>
      <w:r>
        <w:rPr>
          <w:rFonts w:hint="default"/>
        </w:rPr>
        <w:t>方法一、Delphi 法</w:t>
      </w:r>
      <w:bookmarkEnd w:id="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Delphi法是最流行的专家评估技术，在没有历史数据的情况下，这种方式适用于评定过去与将来，新技术与特定程序之间的差别，但专家"专"的程度及对项目的理解程度是工作中的难点，尽管Delphi技术可以减轻这种偏差，专家评估技术在评定一个新软件实际成本时通常用得不多</w:t>
      </w:r>
    </w:p>
    <w:p>
      <w:pPr>
        <w:rPr>
          <w:rFonts w:hint="eastAsia" w:ascii="Arial" w:hAnsi="Arial" w:eastAsia="宋体" w:cs="Arial"/>
          <w:b w:val="0"/>
          <w:i w:val="0"/>
          <w:caps w:val="0"/>
          <w:color w:val="000000"/>
          <w:spacing w:val="0"/>
          <w:sz w:val="21"/>
          <w:szCs w:val="21"/>
          <w:shd w:val="clear" w:fill="FFFFFF"/>
          <w:lang w:val="en-US" w:eastAsia="zh-CN"/>
        </w:rPr>
      </w:pPr>
    </w:p>
    <w:p>
      <w:pPr>
        <w:rPr>
          <w:rFonts w:hint="eastAsia" w:ascii="Arial" w:hAnsi="Arial" w:eastAsia="宋体" w:cs="Arial"/>
          <w:b w:val="0"/>
          <w:i w:val="0"/>
          <w:caps w:val="0"/>
          <w:color w:val="000000"/>
          <w:spacing w:val="0"/>
          <w:sz w:val="21"/>
          <w:szCs w:val="21"/>
          <w:shd w:val="clear" w:fill="FFFFFF"/>
          <w:lang w:val="en-US" w:eastAsia="zh-CN"/>
        </w:rPr>
      </w:pPr>
    </w:p>
    <w:p>
      <w:pPr>
        <w:pStyle w:val="3"/>
      </w:pPr>
      <w:bookmarkStart w:id="2" w:name="_Toc782"/>
      <w:r>
        <w:rPr>
          <w:rFonts w:hint="default"/>
        </w:rPr>
        <w:t>方法二、 类比法</w:t>
      </w:r>
      <w:bookmarkEnd w:id="2"/>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类比法适合评估一些与历史项目在</w:t>
      </w:r>
      <w:r>
        <w:rPr>
          <w:rFonts w:hint="default" w:ascii="Arial" w:hAnsi="Arial" w:cs="Arial"/>
          <w:b w:val="0"/>
          <w:i w:val="0"/>
          <w:caps w:val="0"/>
          <w:color w:val="0A50A1"/>
          <w:spacing w:val="0"/>
          <w:sz w:val="21"/>
          <w:szCs w:val="21"/>
          <w:u w:val="none"/>
          <w:bdr w:val="none" w:color="auto" w:sz="0" w:space="0"/>
          <w:shd w:val="clear" w:fill="FFFFFF"/>
        </w:rPr>
        <w:fldChar w:fldCharType="begin"/>
      </w:r>
      <w:r>
        <w:rPr>
          <w:rFonts w:hint="default" w:ascii="Arial" w:hAnsi="Arial" w:cs="Arial"/>
          <w:b w:val="0"/>
          <w:i w:val="0"/>
          <w:caps w:val="0"/>
          <w:color w:val="0A50A1"/>
          <w:spacing w:val="0"/>
          <w:sz w:val="21"/>
          <w:szCs w:val="21"/>
          <w:u w:val="none"/>
          <w:bdr w:val="none" w:color="auto" w:sz="0" w:space="0"/>
          <w:shd w:val="clear" w:fill="FFFFFF"/>
        </w:rPr>
        <w:instrText xml:space="preserve"> HYPERLINK "http://search.yesky.com/search.do?wd=%D3%A6%D3%C3" \t "http://www.yesky.com/68/_blank" </w:instrText>
      </w:r>
      <w:r>
        <w:rPr>
          <w:rFonts w:hint="default" w:ascii="Arial" w:hAnsi="Arial" w:cs="Arial"/>
          <w:b w:val="0"/>
          <w:i w:val="0"/>
          <w:caps w:val="0"/>
          <w:color w:val="0A50A1"/>
          <w:spacing w:val="0"/>
          <w:sz w:val="21"/>
          <w:szCs w:val="21"/>
          <w:u w:val="none"/>
          <w:bdr w:val="none" w:color="auto" w:sz="0" w:space="0"/>
          <w:shd w:val="clear" w:fill="FFFFFF"/>
        </w:rPr>
        <w:fldChar w:fldCharType="separate"/>
      </w:r>
      <w:r>
        <w:rPr>
          <w:rStyle w:val="15"/>
          <w:rFonts w:hint="default" w:ascii="Arial" w:hAnsi="Arial" w:cs="Arial"/>
          <w:b w:val="0"/>
          <w:i w:val="0"/>
          <w:caps w:val="0"/>
          <w:color w:val="0A50A1"/>
          <w:spacing w:val="0"/>
          <w:sz w:val="21"/>
          <w:szCs w:val="21"/>
          <w:u w:val="none"/>
          <w:bdr w:val="none" w:color="auto" w:sz="0" w:space="0"/>
          <w:shd w:val="clear" w:fill="FFFFFF"/>
        </w:rPr>
        <w:t>应用</w:t>
      </w:r>
      <w:r>
        <w:rPr>
          <w:rFonts w:hint="default" w:ascii="Arial" w:hAnsi="Arial" w:cs="Arial"/>
          <w:b w:val="0"/>
          <w:i w:val="0"/>
          <w:caps w:val="0"/>
          <w:color w:val="0A50A1"/>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领域、环境和复杂度的相似的项目，通过新项目与历史项目的比较得到规模估计。类比法估计结果的精确度取决于历史项目数据的完整性和准确度，因此，用好类比法的前提条件之一是组织建立起较好的项目后评价与分析机制，对历史项目的数据分析是可信赖的。</w:t>
      </w:r>
    </w:p>
    <w:p>
      <w:pPr>
        <w:rPr>
          <w:rFonts w:hint="eastAsia" w:ascii="Arial" w:hAnsi="Arial" w:eastAsia="宋体" w:cs="Arial"/>
          <w:b w:val="0"/>
          <w:i w:val="0"/>
          <w:caps w:val="0"/>
          <w:color w:val="000000"/>
          <w:spacing w:val="0"/>
          <w:sz w:val="21"/>
          <w:szCs w:val="21"/>
          <w:shd w:val="clear" w:fill="FFFFFF"/>
          <w:lang w:val="en-US" w:eastAsia="zh-CN"/>
        </w:rPr>
      </w:pPr>
    </w:p>
    <w:p>
      <w:pPr>
        <w:pStyle w:val="13"/>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bookmarkStart w:id="3" w:name="OLE_LINK2"/>
      <w:r>
        <w:rPr>
          <w:rFonts w:hint="default" w:ascii="Arial" w:hAnsi="Arial" w:cs="Arial"/>
          <w:b w:val="0"/>
          <w:i w:val="0"/>
          <w:caps w:val="0"/>
          <w:color w:val="333333"/>
          <w:spacing w:val="0"/>
          <w:sz w:val="21"/>
          <w:szCs w:val="21"/>
          <w:shd w:val="clear" w:fill="FFFFFF"/>
        </w:rPr>
        <w:t>作者::  ★(attilax)&gt;&gt;&gt; </w:t>
      </w:r>
      <w:r>
        <w:rPr>
          <w:rFonts w:hint="eastAsia" w:ascii="Arial" w:hAnsi="Arial" w:cs="Arial"/>
          <w:b w:val="0"/>
          <w:i w:val="0"/>
          <w:caps w:val="0"/>
          <w:color w:val="333333"/>
          <w:spacing w:val="0"/>
          <w:sz w:val="21"/>
          <w:szCs w:val="21"/>
          <w:shd w:val="clear" w:fill="FFFFFF"/>
          <w:lang w:val="en-US" w:eastAsia="zh-CN"/>
        </w:rPr>
        <w:t xml:space="preserve">  </w:t>
      </w:r>
      <w:r>
        <w:rPr>
          <w:rFonts w:hint="default" w:ascii="Arial" w:hAnsi="Arial" w:cs="Arial"/>
          <w:b w:val="0"/>
          <w:i w:val="0"/>
          <w:caps w:val="0"/>
          <w:color w:val="333333"/>
          <w:spacing w:val="0"/>
          <w:sz w:val="21"/>
          <w:szCs w:val="21"/>
          <w:shd w:val="clear" w:fill="FFFFFF"/>
        </w:rPr>
        <w:t>绰号:老哇的爪子 （ 全名：：Attilax Akbar Al Rapanui 阿提拉克斯 阿克巴 阿尔 拉帕努伊 ） 汉字名：艾龙，</w:t>
      </w:r>
      <w:r>
        <w:rPr>
          <w:rFonts w:ascii="Calibri" w:hAnsi="Calibri" w:cs="Calibri"/>
          <w:b w:val="0"/>
          <w:i w:val="0"/>
          <w:caps w:val="0"/>
          <w:color w:val="333333"/>
          <w:spacing w:val="0"/>
          <w:sz w:val="21"/>
          <w:szCs w:val="21"/>
          <w:shd w:val="clear" w:fill="FFFFFF"/>
        </w:rPr>
        <w:t>  EMAIL:1466519819@qq.com</w:t>
      </w:r>
    </w:p>
    <w:p>
      <w:pPr>
        <w:pStyle w:val="1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转载请注明来源：</w:t>
      </w:r>
      <w:r>
        <w:rPr>
          <w:rFonts w:hint="default" w:ascii="Calibri" w:hAnsi="Calibri" w:cs="Calibri"/>
          <w:b w:val="0"/>
          <w:i w:val="0"/>
          <w:caps w:val="0"/>
          <w:color w:val="333333"/>
          <w:spacing w:val="0"/>
          <w:sz w:val="21"/>
          <w:szCs w:val="21"/>
          <w:shd w:val="clear" w:fill="FFFFFF"/>
        </w:rPr>
        <w:t> http://blog.csdn.net/attilax</w:t>
      </w:r>
      <w:bookmarkEnd w:id="3"/>
    </w:p>
    <w:p>
      <w:pPr>
        <w:rPr>
          <w:rFonts w:hint="eastAsia" w:ascii="Arial" w:hAnsi="Arial" w:eastAsia="宋体" w:cs="Arial"/>
          <w:b w:val="0"/>
          <w:i w:val="0"/>
          <w:caps w:val="0"/>
          <w:color w:val="000000"/>
          <w:spacing w:val="0"/>
          <w:sz w:val="21"/>
          <w:szCs w:val="21"/>
          <w:shd w:val="clear" w:fill="FFFFFF"/>
          <w:lang w:val="en-US" w:eastAsia="zh-CN"/>
        </w:rPr>
      </w:pPr>
      <w:bookmarkStart w:id="12" w:name="_GoBack"/>
      <w:bookmarkEnd w:id="12"/>
    </w:p>
    <w:p>
      <w:pPr>
        <w:pStyle w:val="3"/>
      </w:pPr>
      <w:bookmarkStart w:id="4" w:name="_Toc12761"/>
      <w:r>
        <w:rPr>
          <w:rFonts w:hint="default"/>
        </w:rPr>
        <w:t>方法三、功能点估计法</w:t>
      </w:r>
      <w:bookmarkEnd w:id="4"/>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功能点测量是在需求分析阶段基于系统功能的一种规模估计方法。通过研究初始应用需求来确定各种输入、输出、计算和数据库需求的数量和特性。通常的步骤是：</w:t>
      </w:r>
    </w:p>
    <w:p>
      <w:pPr>
        <w:rPr>
          <w:rFonts w:hint="eastAsia" w:ascii="Arial" w:hAnsi="Arial" w:eastAsia="宋体" w:cs="Arial"/>
          <w:b w:val="0"/>
          <w:i w:val="0"/>
          <w:caps w:val="0"/>
          <w:color w:val="000000"/>
          <w:spacing w:val="0"/>
          <w:sz w:val="21"/>
          <w:szCs w:val="21"/>
          <w:shd w:val="clear" w:fill="FFFFFF"/>
          <w:lang w:val="en-US" w:eastAsia="zh-CN"/>
        </w:rPr>
      </w:pPr>
    </w:p>
    <w:p>
      <w:pPr>
        <w:rPr>
          <w:rFonts w:hint="eastAsia" w:ascii="Arial" w:hAnsi="Arial" w:eastAsia="宋体" w:cs="Arial"/>
          <w:b w:val="0"/>
          <w:i w:val="0"/>
          <w:caps w:val="0"/>
          <w:color w:val="000000"/>
          <w:spacing w:val="0"/>
          <w:sz w:val="21"/>
          <w:szCs w:val="21"/>
          <w:shd w:val="clear" w:fill="FFFFFF"/>
          <w:lang w:val="en-US" w:eastAsia="zh-CN"/>
        </w:rPr>
      </w:pPr>
    </w:p>
    <w:p>
      <w:pPr>
        <w:pStyle w:val="3"/>
      </w:pPr>
      <w:bookmarkStart w:id="5" w:name="_Toc5904"/>
      <w:r>
        <w:rPr>
          <w:rFonts w:hint="default"/>
        </w:rPr>
        <w:t>方法四、PERT估计法</w:t>
      </w:r>
      <w:bookmarkEnd w:id="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PERT对各个项目活动的完成时间按三种不同情况估计：一个产品的期望规模，一个最低可能估计，一个最高可能估计。用这三个估计用来得到一个产品期望规模和标准偏差的Pert 统计估计。Pert 估计可得到代码行的期望值E， 和标准偏差SD.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rPr>
          <w:rFonts w:hint="default" w:ascii="Arial" w:hAnsi="Arial" w:cs="Arial"/>
          <w:b w:val="0"/>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rPr>
          <w:rFonts w:hint="default" w:ascii="Arial" w:hAnsi="Arial" w:cs="Arial"/>
          <w:b w:val="0"/>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rPr>
          <w:rFonts w:hint="default" w:ascii="Arial" w:hAnsi="Arial" w:cs="Arial"/>
          <w:b w:val="0"/>
          <w:i w:val="0"/>
          <w:caps w:val="0"/>
          <w:color w:val="000000"/>
          <w:spacing w:val="0"/>
          <w:sz w:val="21"/>
          <w:szCs w:val="21"/>
          <w:bdr w:val="none" w:color="auto" w:sz="0" w:space="0"/>
          <w:shd w:val="clear" w:fill="FFFFFF"/>
        </w:rPr>
      </w:pPr>
    </w:p>
    <w:p>
      <w:pPr>
        <w:pStyle w:val="2"/>
        <w:ind w:left="432" w:leftChars="0" w:hanging="432" w:firstLineChars="0"/>
        <w:rPr>
          <w:rFonts w:hint="eastAsia"/>
          <w:lang w:val="en-US" w:eastAsia="zh-CN"/>
        </w:rPr>
      </w:pPr>
      <w:bookmarkStart w:id="6" w:name="_Toc596"/>
      <w:r>
        <w:rPr>
          <w:rFonts w:hint="eastAsia"/>
          <w:lang w:val="en-US" w:eastAsia="zh-CN"/>
        </w:rPr>
        <w:t>统计法</w:t>
      </w:r>
      <w:bookmarkEnd w:id="6"/>
    </w:p>
    <w:p>
      <w:pPr>
        <w:pStyle w:val="3"/>
        <w:rPr>
          <w:rFonts w:hint="eastAsia"/>
          <w:lang w:val="en-US" w:eastAsia="zh-CN"/>
        </w:rPr>
      </w:pPr>
      <w:bookmarkStart w:id="7" w:name="_Toc24768"/>
      <w:r>
        <w:rPr>
          <w:rFonts w:hint="eastAsia"/>
          <w:lang w:val="en-US" w:eastAsia="zh-CN"/>
        </w:rPr>
        <w:t>代码行数</w:t>
      </w:r>
      <w:bookmarkEnd w:id="7"/>
    </w:p>
    <w:p>
      <w:pPr>
        <w:pStyle w:val="3"/>
      </w:pPr>
      <w:bookmarkStart w:id="8" w:name="_Toc20993"/>
      <w:r>
        <w:t>类或函数的数量和大小</w:t>
      </w:r>
      <w:bookmarkEnd w:id="8"/>
    </w:p>
    <w:p>
      <w:pPr>
        <w:rPr>
          <w:rFonts w:ascii="Helvetica Neue" w:hAnsi="Helvetica Neue" w:eastAsia="Helvetica Neue" w:cs="Helvetica Neue"/>
          <w:b w:val="0"/>
          <w:i w:val="0"/>
          <w:caps w:val="0"/>
          <w:color w:val="555555"/>
          <w:spacing w:val="0"/>
          <w:sz w:val="24"/>
          <w:szCs w:val="24"/>
          <w:shd w:val="clear" w:fill="FFFFFF"/>
        </w:rPr>
      </w:pPr>
    </w:p>
    <w:p>
      <w:pPr>
        <w:rPr>
          <w:rFonts w:hint="eastAsia"/>
          <w:lang w:val="en-US" w:eastAsia="zh-CN"/>
        </w:rPr>
      </w:pPr>
    </w:p>
    <w:p>
      <w:pPr>
        <w:pStyle w:val="3"/>
        <w:rPr>
          <w:rFonts w:hint="eastAsia"/>
        </w:rPr>
      </w:pPr>
      <w:bookmarkStart w:id="9" w:name="_Toc20770"/>
      <w:r>
        <w:rPr>
          <w:rFonts w:hint="eastAsia"/>
        </w:rPr>
        <w:t>圈复杂度</w:t>
      </w:r>
      <w:bookmarkEnd w:id="9"/>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是一种代码复杂度的衡量标准。在软件测试的概念里，圈复杂度“用来衡量一个模块判定结构的复杂程度，数量上表现为独立线性路径条数，即合理的预防错误所需测试的最少路径条数，圈复杂度大说明程序代码可能质量低且难于测试和维护，根据经验，程序的可能错误和高的圈复杂度有着很大关系</w:t>
      </w:r>
    </w:p>
    <w:p>
      <w:pPr>
        <w:rPr>
          <w:rFonts w:hint="eastAsia"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算公式2：V(G)=区域数=判定节点数+1。其实，圈复杂度的计算还有更直观的方法，因为圈复杂度所反映的是“判定条件”的数量，所以圈复杂度实际上就是等于判定节点的数量再加上1，也即控制流图的区域数。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对于多分支的CASE结构或IF-ELSEIF-ELSE结构，统计判定节点的个数时需要特别注意一点，要求必须统计全部实际的判定节点数，也即每个ELSEIF语句，以及每个CASE语句，都应该算为一个判定节点。</w:t>
      </w:r>
    </w:p>
    <w:p>
      <w:pPr>
        <w:pStyle w:val="3"/>
      </w:pPr>
      <w:bookmarkStart w:id="10" w:name="_Toc12735"/>
      <w:r>
        <w:t>LOC(Line of Code),LOC指</w:t>
      </w:r>
      <w:bookmarkEnd w:id="10"/>
    </w:p>
    <w:p>
      <w:pPr>
        <w:rPr>
          <w:rFonts w:hint="default" w:ascii="Arial" w:hAnsi="Arial" w:eastAsia="宋体" w:cs="Arial"/>
          <w:b w:val="0"/>
          <w:i w:val="0"/>
          <w:caps w:val="0"/>
          <w:color w:val="000000"/>
          <w:spacing w:val="0"/>
          <w:sz w:val="21"/>
          <w:szCs w:val="21"/>
          <w:shd w:val="clear" w:fill="FFFFFF"/>
        </w:rPr>
      </w:pPr>
      <w:r>
        <w:rPr>
          <w:rFonts w:ascii="Arial" w:hAnsi="Arial" w:eastAsia="宋体" w:cs="Arial"/>
          <w:b w:val="0"/>
          <w:i w:val="0"/>
          <w:caps w:val="0"/>
          <w:color w:val="000000"/>
          <w:spacing w:val="0"/>
          <w:sz w:val="21"/>
          <w:szCs w:val="21"/>
          <w:shd w:val="clear" w:fill="FFFFFF"/>
        </w:rPr>
        <w:t>LOC指所有的可执行的</w:t>
      </w:r>
      <w:r>
        <w:rPr>
          <w:rFonts w:hint="default" w:ascii="Arial" w:hAnsi="Arial" w:eastAsia="宋体" w:cs="Arial"/>
          <w:b w:val="0"/>
          <w:i w:val="0"/>
          <w:caps w:val="0"/>
          <w:color w:val="0A50A1"/>
          <w:spacing w:val="0"/>
          <w:sz w:val="21"/>
          <w:szCs w:val="21"/>
          <w:u w:val="none"/>
          <w:shd w:val="clear" w:fill="FFFFFF"/>
        </w:rPr>
        <w:fldChar w:fldCharType="begin"/>
      </w:r>
      <w:r>
        <w:rPr>
          <w:rFonts w:hint="default" w:ascii="Arial" w:hAnsi="Arial" w:eastAsia="宋体" w:cs="Arial"/>
          <w:b w:val="0"/>
          <w:i w:val="0"/>
          <w:caps w:val="0"/>
          <w:color w:val="0A50A1"/>
          <w:spacing w:val="0"/>
          <w:sz w:val="21"/>
          <w:szCs w:val="21"/>
          <w:u w:val="none"/>
          <w:shd w:val="clear" w:fill="FFFFFF"/>
        </w:rPr>
        <w:instrText xml:space="preserve"> HYPERLINK "http://mydown.yesky.com/soft/83/83685.html" \t "http://www.yesky.com/68/_blank" </w:instrText>
      </w:r>
      <w:r>
        <w:rPr>
          <w:rFonts w:hint="default" w:ascii="Arial" w:hAnsi="Arial" w:eastAsia="宋体" w:cs="Arial"/>
          <w:b w:val="0"/>
          <w:i w:val="0"/>
          <w:caps w:val="0"/>
          <w:color w:val="0A50A1"/>
          <w:spacing w:val="0"/>
          <w:sz w:val="21"/>
          <w:szCs w:val="21"/>
          <w:u w:val="none"/>
          <w:shd w:val="clear" w:fill="FFFFFF"/>
        </w:rPr>
        <w:fldChar w:fldCharType="separate"/>
      </w:r>
      <w:r>
        <w:rPr>
          <w:rStyle w:val="15"/>
          <w:rFonts w:hint="default" w:ascii="Arial" w:hAnsi="Arial" w:eastAsia="宋体" w:cs="Arial"/>
          <w:b w:val="0"/>
          <w:i w:val="0"/>
          <w:caps w:val="0"/>
          <w:color w:val="0A50A1"/>
          <w:spacing w:val="0"/>
          <w:sz w:val="21"/>
          <w:szCs w:val="21"/>
          <w:u w:val="none"/>
          <w:shd w:val="clear" w:fill="FFFFFF"/>
        </w:rPr>
        <w:t>源代码</w:t>
      </w:r>
      <w:r>
        <w:rPr>
          <w:rFonts w:hint="default" w:ascii="Arial" w:hAnsi="Arial" w:eastAsia="宋体" w:cs="Arial"/>
          <w:b w:val="0"/>
          <w:i w:val="0"/>
          <w:caps w:val="0"/>
          <w:color w:val="0A50A1"/>
          <w:spacing w:val="0"/>
          <w:sz w:val="21"/>
          <w:szCs w:val="21"/>
          <w:u w:val="none"/>
          <w:shd w:val="clear" w:fill="FFFFFF"/>
        </w:rPr>
        <w:fldChar w:fldCharType="end"/>
      </w:r>
      <w:r>
        <w:rPr>
          <w:rFonts w:hint="default" w:ascii="Arial" w:hAnsi="Arial" w:eastAsia="宋体" w:cs="Arial"/>
          <w:b w:val="0"/>
          <w:i w:val="0"/>
          <w:caps w:val="0"/>
          <w:color w:val="000000"/>
          <w:spacing w:val="0"/>
          <w:sz w:val="21"/>
          <w:szCs w:val="21"/>
          <w:shd w:val="clear" w:fill="FFFFFF"/>
        </w:rPr>
        <w:t>行数，包括可交付的工作控制语言（JCL：Job Control Language）语句、数据定义、数据类型声明、等价声明、输入/输出格式声明</w:t>
      </w:r>
    </w:p>
    <w:p>
      <w:pPr>
        <w:rPr>
          <w:rFonts w:hint="default" w:ascii="Arial" w:hAnsi="Arial" w:eastAsia="宋体" w:cs="Arial"/>
          <w:b w:val="0"/>
          <w:i w:val="0"/>
          <w:caps w:val="0"/>
          <w:color w:val="000000"/>
          <w:spacing w:val="0"/>
          <w:sz w:val="21"/>
          <w:szCs w:val="21"/>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rPr>
          <w:rFonts w:hint="default" w:ascii="Arial" w:hAnsi="Arial" w:cs="Arial"/>
          <w:b w:val="0"/>
          <w:i w:val="0"/>
          <w:caps w:val="0"/>
          <w:color w:val="000000"/>
          <w:spacing w:val="0"/>
          <w:sz w:val="21"/>
          <w:szCs w:val="21"/>
          <w:bdr w:val="none" w:color="auto" w:sz="0" w:space="0"/>
          <w:shd w:val="clear" w:fill="FFFFFF"/>
        </w:rPr>
      </w:pPr>
    </w:p>
    <w:p>
      <w:pPr>
        <w:pStyle w:val="2"/>
        <w:rPr>
          <w:rFonts w:hint="eastAsia"/>
          <w:lang w:val="en-US" w:eastAsia="zh-CN"/>
        </w:rPr>
      </w:pPr>
      <w:bookmarkStart w:id="11" w:name="_Toc12766"/>
      <w:r>
        <w:rPr>
          <w:rFonts w:hint="eastAsia"/>
          <w:lang w:val="en-US" w:eastAsia="zh-CN"/>
        </w:rPr>
        <w:t>参考资料</w:t>
      </w:r>
      <w:bookmarkEnd w:id="11"/>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圈复杂度_百度百科.html</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圈复杂度_Java教程_www.knowsky.com.html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 w:name="Open San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5555B"/>
    <w:multiLevelType w:val="multilevel"/>
    <w:tmpl w:val="57E5555B"/>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A11FC"/>
    <w:rsid w:val="01222210"/>
    <w:rsid w:val="02AF6685"/>
    <w:rsid w:val="02DE0892"/>
    <w:rsid w:val="037F019B"/>
    <w:rsid w:val="04246B24"/>
    <w:rsid w:val="04282CED"/>
    <w:rsid w:val="07614D7C"/>
    <w:rsid w:val="07D21766"/>
    <w:rsid w:val="07FD5FDA"/>
    <w:rsid w:val="084930AA"/>
    <w:rsid w:val="089F2D89"/>
    <w:rsid w:val="09B71B8A"/>
    <w:rsid w:val="0A0A1110"/>
    <w:rsid w:val="0A901B9C"/>
    <w:rsid w:val="0AFD014C"/>
    <w:rsid w:val="0BE10E2D"/>
    <w:rsid w:val="0CD24809"/>
    <w:rsid w:val="0CE3661F"/>
    <w:rsid w:val="0D620139"/>
    <w:rsid w:val="10871434"/>
    <w:rsid w:val="126A61C6"/>
    <w:rsid w:val="12F4508D"/>
    <w:rsid w:val="147C2E69"/>
    <w:rsid w:val="15CA2E98"/>
    <w:rsid w:val="16174C61"/>
    <w:rsid w:val="164C77BE"/>
    <w:rsid w:val="19F36EFB"/>
    <w:rsid w:val="1A076381"/>
    <w:rsid w:val="1A241DB3"/>
    <w:rsid w:val="1B9E331E"/>
    <w:rsid w:val="1BC941BE"/>
    <w:rsid w:val="1C2827B4"/>
    <w:rsid w:val="1C424DA6"/>
    <w:rsid w:val="1D4051C7"/>
    <w:rsid w:val="1E564D9F"/>
    <w:rsid w:val="1E9A0B4C"/>
    <w:rsid w:val="1F264161"/>
    <w:rsid w:val="20A866FA"/>
    <w:rsid w:val="216D3337"/>
    <w:rsid w:val="21B344FF"/>
    <w:rsid w:val="221B32BC"/>
    <w:rsid w:val="22A71B03"/>
    <w:rsid w:val="22BD2533"/>
    <w:rsid w:val="2480446F"/>
    <w:rsid w:val="25291EAD"/>
    <w:rsid w:val="258A4601"/>
    <w:rsid w:val="25F36AF4"/>
    <w:rsid w:val="25F717B6"/>
    <w:rsid w:val="27510E4B"/>
    <w:rsid w:val="285C6A1A"/>
    <w:rsid w:val="29820F41"/>
    <w:rsid w:val="29BE0D38"/>
    <w:rsid w:val="2AA13B48"/>
    <w:rsid w:val="2ACD7E1E"/>
    <w:rsid w:val="2B481FE1"/>
    <w:rsid w:val="2B9A6ADB"/>
    <w:rsid w:val="2D0B349D"/>
    <w:rsid w:val="2D945EFD"/>
    <w:rsid w:val="2EA32993"/>
    <w:rsid w:val="2ED74BFA"/>
    <w:rsid w:val="2F865694"/>
    <w:rsid w:val="303368A3"/>
    <w:rsid w:val="30BA11FC"/>
    <w:rsid w:val="33313D41"/>
    <w:rsid w:val="33E36740"/>
    <w:rsid w:val="34686F85"/>
    <w:rsid w:val="357053BF"/>
    <w:rsid w:val="361C0964"/>
    <w:rsid w:val="36C13BDB"/>
    <w:rsid w:val="36CD0722"/>
    <w:rsid w:val="36D03A13"/>
    <w:rsid w:val="388A7A23"/>
    <w:rsid w:val="38DD535A"/>
    <w:rsid w:val="3A3B1606"/>
    <w:rsid w:val="3B5F5E03"/>
    <w:rsid w:val="3D3F2905"/>
    <w:rsid w:val="3D5665B6"/>
    <w:rsid w:val="3DDA1DAE"/>
    <w:rsid w:val="40D23AF8"/>
    <w:rsid w:val="420C25BD"/>
    <w:rsid w:val="424335B9"/>
    <w:rsid w:val="42E60F69"/>
    <w:rsid w:val="44354DF8"/>
    <w:rsid w:val="450E1F78"/>
    <w:rsid w:val="4520076E"/>
    <w:rsid w:val="457F4922"/>
    <w:rsid w:val="47291BAE"/>
    <w:rsid w:val="47D03764"/>
    <w:rsid w:val="48A5539D"/>
    <w:rsid w:val="4C447FAD"/>
    <w:rsid w:val="4CDE6727"/>
    <w:rsid w:val="4D4756F3"/>
    <w:rsid w:val="4DFD62B4"/>
    <w:rsid w:val="4E150092"/>
    <w:rsid w:val="516246C3"/>
    <w:rsid w:val="54512F19"/>
    <w:rsid w:val="555C51F5"/>
    <w:rsid w:val="55F75807"/>
    <w:rsid w:val="56255E23"/>
    <w:rsid w:val="56E94E62"/>
    <w:rsid w:val="56EB59F3"/>
    <w:rsid w:val="572F07B7"/>
    <w:rsid w:val="57B200BF"/>
    <w:rsid w:val="57EC5D36"/>
    <w:rsid w:val="58323732"/>
    <w:rsid w:val="58A15679"/>
    <w:rsid w:val="591D66AB"/>
    <w:rsid w:val="59BF0BD6"/>
    <w:rsid w:val="5AAF41FE"/>
    <w:rsid w:val="5CCF3687"/>
    <w:rsid w:val="5D7F7D26"/>
    <w:rsid w:val="5D886844"/>
    <w:rsid w:val="5DA32819"/>
    <w:rsid w:val="5DA4650B"/>
    <w:rsid w:val="5E9243F9"/>
    <w:rsid w:val="5FF46D54"/>
    <w:rsid w:val="600B0616"/>
    <w:rsid w:val="60700BF7"/>
    <w:rsid w:val="60B5252E"/>
    <w:rsid w:val="613E4266"/>
    <w:rsid w:val="61540E48"/>
    <w:rsid w:val="62890024"/>
    <w:rsid w:val="63797645"/>
    <w:rsid w:val="64443EEF"/>
    <w:rsid w:val="645D3602"/>
    <w:rsid w:val="66085E03"/>
    <w:rsid w:val="666E1210"/>
    <w:rsid w:val="68185B98"/>
    <w:rsid w:val="692858CD"/>
    <w:rsid w:val="69814FA6"/>
    <w:rsid w:val="69857FA6"/>
    <w:rsid w:val="6A0701BD"/>
    <w:rsid w:val="6A4E532B"/>
    <w:rsid w:val="6A9E2965"/>
    <w:rsid w:val="72C8290A"/>
    <w:rsid w:val="73CA6ABA"/>
    <w:rsid w:val="741D1EB1"/>
    <w:rsid w:val="7436477A"/>
    <w:rsid w:val="74D90492"/>
    <w:rsid w:val="755B26A0"/>
    <w:rsid w:val="756412A9"/>
    <w:rsid w:val="75F77202"/>
    <w:rsid w:val="76CA6662"/>
    <w:rsid w:val="77034FFB"/>
    <w:rsid w:val="77367F5C"/>
    <w:rsid w:val="777F42B0"/>
    <w:rsid w:val="78E1299B"/>
    <w:rsid w:val="7970540A"/>
    <w:rsid w:val="7A515056"/>
    <w:rsid w:val="7A8B2DF2"/>
    <w:rsid w:val="7ABD6006"/>
    <w:rsid w:val="7B2827DE"/>
    <w:rsid w:val="7B9B0D9A"/>
    <w:rsid w:val="7C0B0E18"/>
    <w:rsid w:val="7C774B93"/>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2016-09-23T14:55:00Z</dcterms:created>
  <dc:creator>Administrator</dc:creator>
  <cp:lastModifiedBy>Administrator</cp:lastModifiedBy>
  <dcterms:modified xsi:type="dcterms:W3CDTF">2016-09-23T15:52:12Z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