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uke协会联盟基本法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96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基本法总纲</w:t>
          </w:r>
          <w:r>
            <w:tab/>
          </w:r>
          <w:r>
            <w:fldChar w:fldCharType="begin"/>
          </w:r>
          <w:r>
            <w:instrText xml:space="preserve"> PAGEREF _Toc7342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3"/>
            </w:rPr>
            <w:t xml:space="preserve">1.1. </w:t>
          </w:r>
          <w:r>
            <w:rPr>
              <w:rFonts w:hint="eastAsia"/>
              <w:lang w:val="en-US" w:eastAsia="zh-CN"/>
            </w:rPr>
            <w:t>联盟基本法的原则</w:t>
          </w:r>
          <w:r>
            <w:tab/>
          </w:r>
          <w:r>
            <w:fldChar w:fldCharType="begin"/>
          </w:r>
          <w:r>
            <w:instrText xml:space="preserve"> PAGEREF _Toc22832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1.2. </w:t>
          </w:r>
          <w:r>
            <w:rPr>
              <w:rFonts w:hint="default"/>
            </w:rPr>
            <w:t>合法性</w:t>
          </w:r>
          <w:r>
            <w:rPr>
              <w:rFonts w:hint="eastAsia"/>
              <w:lang w:eastAsia="zh-CN"/>
            </w:rPr>
            <w:t>的产生</w:t>
          </w:r>
          <w:bookmarkStart w:id="32" w:name="_GoBack"/>
          <w:bookmarkEnd w:id="32"/>
          <w:r>
            <w:tab/>
          </w:r>
          <w:r>
            <w:fldChar w:fldCharType="begin"/>
          </w:r>
          <w:r>
            <w:instrText xml:space="preserve"> PAGEREF _Toc29352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▪ 第二章　权利与义务</w:t>
          </w:r>
          <w:r>
            <w:tab/>
          </w:r>
          <w:r>
            <w:fldChar w:fldCharType="begin"/>
          </w:r>
          <w:r>
            <w:instrText xml:space="preserve"> PAGEREF _Toc28662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定时集会仪式</w:t>
          </w:r>
          <w:r>
            <w:tab/>
          </w:r>
          <w:r>
            <w:fldChar w:fldCharType="begin"/>
          </w:r>
          <w:r>
            <w:instrText xml:space="preserve"> PAGEREF _Toc14042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第十一篇</w:t>
          </w:r>
          <w:r>
            <w:rPr>
              <w:rFonts w:hint="eastAsia"/>
              <w:lang w:eastAsia="zh-CN"/>
            </w:rPr>
            <w:t>总部</w:t>
          </w:r>
          <w:r>
            <w:t>与</w:t>
          </w:r>
          <w:r>
            <w:rPr>
              <w:rFonts w:hint="eastAsia"/>
              <w:lang w:eastAsia="zh-CN"/>
            </w:rPr>
            <w:t>分部</w:t>
          </w:r>
          <w:r>
            <w:t>的关系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_Toc4599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eastAsia="zh-CN"/>
            </w:rPr>
            <w:t>制度建设</w:t>
          </w:r>
          <w:r>
            <w:tab/>
          </w:r>
          <w:r>
            <w:fldChar w:fldCharType="begin"/>
          </w:r>
          <w:r>
            <w:instrText xml:space="preserve"> PAGEREF _Toc27832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行政关系</w:t>
          </w:r>
          <w:r>
            <w:tab/>
          </w:r>
          <w:r>
            <w:fldChar w:fldCharType="begin"/>
          </w:r>
          <w:r>
            <w:instrText xml:space="preserve"> PAGEREF _Toc26078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第三章　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组织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机构</w:t>
          </w:r>
          <w:r>
            <w:tab/>
          </w:r>
          <w:r>
            <w:fldChar w:fldCharType="begin"/>
          </w:r>
          <w:r>
            <w:instrText xml:space="preserve"> PAGEREF _Toc13600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5. ▪ 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第四章　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联盟会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旗、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歌、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eastAsia="zh-CN"/>
            </w:rPr>
            <w:t>会</w:t>
          </w:r>
          <w:r>
            <w:rPr>
              <w:rFonts w:hint="default" w:ascii="Arial" w:hAnsi="Arial" w:cs="Arial"/>
              <w:i w:val="0"/>
              <w:caps w:val="0"/>
              <w:spacing w:val="0"/>
              <w:szCs w:val="18"/>
            </w:rPr>
            <w:t>徽</w:t>
          </w:r>
          <w:r>
            <w:rPr>
              <w:rFonts w:hint="eastAsia" w:ascii="Arial" w:hAnsi="Arial" w:cs="Arial"/>
              <w:i w:val="0"/>
              <w:caps w:val="0"/>
              <w:spacing w:val="0"/>
              <w:szCs w:val="18"/>
              <w:lang w:val="en-US" w:eastAsia="zh-CN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_Toc21098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  <w:lang w:val="en-US" w:eastAsia="zh-CN"/>
            </w:rPr>
            <w:t>指导原则</w:t>
          </w:r>
          <w:r>
            <w:tab/>
          </w:r>
          <w:r>
            <w:fldChar w:fldCharType="begin"/>
          </w:r>
          <w:r>
            <w:instrText xml:space="preserve"> PAGEREF _Toc26571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总部</w:t>
          </w:r>
          <w:r>
            <w:rPr>
              <w:lang w:val="en-US" w:eastAsia="zh-CN"/>
            </w:rPr>
            <w:t>直辖</w:t>
          </w:r>
          <w:r>
            <w:rPr>
              <w:rFonts w:hint="eastAsia"/>
              <w:lang w:val="en-US" w:eastAsia="zh-CN"/>
            </w:rPr>
            <w:t>区域部门</w:t>
          </w:r>
          <w:r>
            <w:tab/>
          </w:r>
          <w:r>
            <w:fldChar w:fldCharType="begin"/>
          </w:r>
          <w:r>
            <w:instrText xml:space="preserve"> PAGEREF _Toc29855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8. </w:t>
          </w:r>
          <w:r>
            <w:t>第十二篇财政、财产、契约及诉讼</w:t>
          </w:r>
          <w:r>
            <w:tab/>
          </w:r>
          <w:r>
            <w:fldChar w:fldCharType="begin"/>
          </w:r>
          <w:r>
            <w:instrText xml:space="preserve"> PAGEREF _Toc26922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9. </w:t>
          </w:r>
          <w:r>
            <w:t>第十五篇选举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_Toc29856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t>第十七篇</w:t>
          </w:r>
          <w:r>
            <w:rPr>
              <w:rFonts w:hint="eastAsia"/>
              <w:lang w:eastAsia="zh-CN"/>
            </w:rPr>
            <w:t>交流</w:t>
          </w:r>
          <w:r>
            <w:t>语言文字</w:t>
          </w:r>
          <w:r>
            <w:tab/>
          </w:r>
          <w:r>
            <w:fldChar w:fldCharType="begin"/>
          </w:r>
          <w:r>
            <w:instrText xml:space="preserve"> PAGEREF _Toc10350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t>第十八篇紧急状态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_Toc5669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12. </w:t>
          </w:r>
          <w:r>
            <w:t>第十九篇其他事项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_Toc20105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13. </w:t>
          </w:r>
          <w:r>
            <w:t>第二十篇本</w:t>
          </w:r>
          <w:r>
            <w:rPr>
              <w:rFonts w:hint="eastAsia"/>
              <w:lang w:eastAsia="zh-CN"/>
            </w:rPr>
            <w:t>基本法</w:t>
          </w:r>
          <w:r>
            <w:t>之修正</w:t>
          </w:r>
          <w:r>
            <w:t xml:space="preserve"> </w:t>
          </w:r>
          <w:r>
            <w:tab/>
          </w:r>
          <w:r>
            <w:fldChar w:fldCharType="begin"/>
          </w:r>
          <w:r>
            <w:instrText xml:space="preserve"> PAGEREF _Toc2547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14. </w:t>
          </w:r>
          <w:r>
            <w:t>第二十一篇临时性、过渡性条款和特别条款</w:t>
          </w:r>
          <w:r>
            <w:tab/>
          </w:r>
          <w:r>
            <w:fldChar w:fldCharType="begin"/>
          </w:r>
          <w:r>
            <w:instrText xml:space="preserve"> PAGEREF _Toc11874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 </w:t>
          </w:r>
          <w:r>
            <w:t>第二十二篇简称、开始实施日期及废除</w:t>
          </w:r>
          <w:r>
            <w:tab/>
          </w:r>
          <w:r>
            <w:fldChar w:fldCharType="begin"/>
          </w:r>
          <w:r>
            <w:instrText xml:space="preserve"> PAGEREF _Toc28607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16. </w:t>
          </w:r>
          <w:r>
            <w:rPr>
              <w:rFonts w:hint="eastAsia"/>
              <w:lang w:eastAsia="zh-CN"/>
            </w:rPr>
            <w:t>》》》各种附表</w:t>
          </w:r>
          <w:r>
            <w:rPr>
              <w:rFonts w:hint="eastAsia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_Toc18332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Fonts w:hint="eastAsia"/>
          <w:lang w:val="en-US" w:eastAsia="zh-CN"/>
        </w:rPr>
      </w:pPr>
      <w:bookmarkStart w:id="0" w:name="_Toc7342"/>
      <w:r>
        <w:rPr>
          <w:rFonts w:hint="eastAsia"/>
          <w:lang w:val="en-US" w:eastAsia="zh-CN"/>
        </w:rPr>
        <w:t>基本法总纲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U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ke是一个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较为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分散型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性质的组织联盟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协会 ngo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bookmarkStart w:id="1" w:name="_Toc22832"/>
      <w:r>
        <w:rPr>
          <w:rFonts w:hint="eastAsia"/>
          <w:lang w:val="en-US" w:eastAsia="zh-CN"/>
        </w:rPr>
        <w:t>联盟基本法的原则</w:t>
      </w:r>
      <w:bookmarkEnd w:id="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ind w:left="575" w:leftChars="0" w:hanging="575" w:firstLineChars="0"/>
        <w:rPr>
          <w:rFonts w:hint="eastAsia"/>
          <w:lang w:eastAsia="zh-CN"/>
        </w:rPr>
      </w:pPr>
      <w:bookmarkStart w:id="2" w:name="_Toc29352"/>
      <w:r>
        <w:rPr>
          <w:rFonts w:hint="default"/>
        </w:rPr>
        <w:t>合法性</w:t>
      </w:r>
      <w:r>
        <w:rPr>
          <w:rFonts w:hint="eastAsia"/>
          <w:lang w:eastAsia="zh-CN"/>
        </w:rPr>
        <w:t>的产生</w:t>
      </w:r>
      <w:bookmarkEnd w:id="2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下级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选举产生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，同级推荐，上级任命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国王任命圣旨  主教教令等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</w:pPr>
      <w:bookmarkStart w:id="3" w:name="_Toc28662"/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Cs w:val="18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18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"3_3"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第二章　</w:t>
      </w:r>
      <w:bookmarkStart w:id="4" w:name="OLE_LINK2"/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权利与义务</w:t>
      </w:r>
      <w:bookmarkEnd w:id="4"/>
      <w:r>
        <w:rPr>
          <w:rFonts w:hint="default"/>
        </w:rPr>
        <w:fldChar w:fldCharType="end"/>
      </w:r>
      <w:bookmarkEnd w:id="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基本义务——每个成员应克尽下列义务：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（1）遵守基本法，尊重它的思想和规定，尊敬联盟会旗和会歌。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（2）珍视和遵循我们为争取梦想而进行奋斗中激发出的崇高思想。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042"/>
      <w:r>
        <w:rPr>
          <w:rFonts w:hint="eastAsia"/>
          <w:lang w:val="en-US" w:eastAsia="zh-CN"/>
        </w:rPr>
        <w:t>定时集会仪式</w:t>
      </w:r>
      <w:bookmarkEnd w:id="5"/>
    </w:p>
    <w:p/>
    <w:p>
      <w:pPr>
        <w:pStyle w:val="2"/>
      </w:pPr>
      <w:bookmarkStart w:id="6" w:name="_Toc10648"/>
      <w:bookmarkStart w:id="7" w:name="_Toc4599"/>
      <w:r>
        <w:t>第十一篇</w:t>
      </w:r>
      <w:r>
        <w:rPr>
          <w:rFonts w:hint="eastAsia"/>
          <w:lang w:eastAsia="zh-CN"/>
        </w:rPr>
        <w:t>总部</w:t>
      </w:r>
      <w:r>
        <w:t>与</w:t>
      </w:r>
      <w:r>
        <w:rPr>
          <w:rFonts w:hint="eastAsia"/>
          <w:lang w:eastAsia="zh-CN"/>
        </w:rPr>
        <w:t>分部</w:t>
      </w:r>
      <w:r>
        <w:t>的关系</w:t>
      </w:r>
      <w:r>
        <w:br w:type="textWrapping"/>
      </w:r>
      <w:bookmarkEnd w:id="6"/>
      <w:bookmarkEnd w:id="7"/>
    </w:p>
    <w:p>
      <w:pPr>
        <w:pStyle w:val="3"/>
      </w:pPr>
      <w:bookmarkStart w:id="8" w:name="_Toc27832"/>
      <w:r>
        <w:rPr>
          <w:rFonts w:hint="eastAsia"/>
          <w:lang w:eastAsia="zh-CN"/>
        </w:rPr>
        <w:t>制度建设</w:t>
      </w:r>
      <w:bookmarkEnd w:id="8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  <w:lang w:val="en-US" w:eastAsia="zh-CN"/>
        </w:rPr>
        <w:t>分部制度建设独立，但接受总部指导与建议。。</w:t>
      </w:r>
    </w:p>
    <w:p>
      <w:pPr>
        <w:pStyle w:val="3"/>
      </w:pPr>
      <w:bookmarkStart w:id="9" w:name="_Toc26078"/>
      <w:r>
        <w:t>行政关系</w:t>
      </w:r>
      <w:bookmarkEnd w:id="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互不隶属</w:t>
      </w:r>
      <w:r>
        <w:rPr>
          <w:rFonts w:hint="eastAsia"/>
          <w:lang w:val="en-US" w:eastAsia="zh-CN"/>
        </w:rPr>
        <w:t xml:space="preserve">  独立的行政关系。。。总部直属分部点加盟点除外</w:t>
      </w:r>
    </w:p>
    <w:p>
      <w:pPr>
        <w:pStyle w:val="2"/>
      </w:pPr>
      <w:bookmarkStart w:id="10" w:name="_Toc13600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"3_4"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第三章　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组织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机构</w:t>
      </w:r>
      <w:r>
        <w:rPr>
          <w:rFonts w:hint="default"/>
        </w:rPr>
        <w:fldChar w:fldCharType="end"/>
      </w:r>
      <w:bookmarkEnd w:id="1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按照部门职能划分组织结构，，以及按照地域等级划分</w:t>
      </w:r>
    </w:p>
    <w:p>
      <w:pPr>
        <w:pStyle w:val="2"/>
      </w:pPr>
      <w:bookmarkStart w:id="11" w:name="_Toc21098"/>
      <w:r>
        <w:rPr>
          <w:rFonts w:hint="default"/>
        </w:rPr>
        <w:t>▪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"3_5"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第四章　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联盟会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旗、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会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歌、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eastAsia="zh-CN"/>
        </w:rPr>
        <w:t>会</w:t>
      </w:r>
      <w:r>
        <w:rPr>
          <w:rStyle w:val="14"/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u w:val="none"/>
        </w:rPr>
        <w:t>徽</w:t>
      </w:r>
      <w:r>
        <w:rPr>
          <w:rStyle w:val="14"/>
          <w:rFonts w:hint="eastAsia" w:ascii="Arial" w:hAnsi="Arial" w:cs="Arial"/>
          <w:b w:val="0"/>
          <w:i w:val="0"/>
          <w:caps w:val="0"/>
          <w:color w:val="333333"/>
          <w:spacing w:val="0"/>
          <w:szCs w:val="18"/>
          <w:u w:val="none"/>
          <w:lang w:val="en-US" w:eastAsia="zh-CN"/>
        </w:rPr>
        <w:t xml:space="preserve"> </w:t>
      </w:r>
      <w:r>
        <w:rPr>
          <w:rFonts w:hint="default"/>
        </w:rPr>
        <w:fldChar w:fldCharType="end"/>
      </w:r>
      <w:bookmarkEnd w:id="11"/>
    </w:p>
    <w:p>
      <w:pPr>
        <w:pStyle w:val="2"/>
      </w:pPr>
      <w:bookmarkStart w:id="12" w:name="OLE_LINK3"/>
      <w:bookmarkStart w:id="13" w:name="_Toc26571"/>
      <w:r>
        <w:rPr>
          <w:rFonts w:hint="eastAsia"/>
          <w:lang w:val="en-US" w:eastAsia="zh-CN"/>
        </w:rPr>
        <w:t>指导原则</w:t>
      </w:r>
      <w:bookmarkEnd w:id="12"/>
      <w:bookmarkEnd w:id="13"/>
    </w:p>
    <w:p>
      <w:pPr>
        <w:pStyle w:val="2"/>
      </w:pPr>
      <w:bookmarkStart w:id="14" w:name="OLE_LINK4"/>
      <w:bookmarkStart w:id="15" w:name="_Toc29855"/>
      <w:r>
        <w:rPr>
          <w:rFonts w:hint="eastAsia"/>
          <w:lang w:val="en-US" w:eastAsia="zh-CN"/>
        </w:rPr>
        <w:t>总部</w:t>
      </w:r>
      <w:r>
        <w:rPr>
          <w:lang w:val="en-US" w:eastAsia="zh-CN"/>
        </w:rPr>
        <w:t>直辖</w:t>
      </w:r>
      <w:bookmarkEnd w:id="14"/>
      <w:r>
        <w:rPr>
          <w:rFonts w:hint="eastAsia"/>
          <w:lang w:val="en-US" w:eastAsia="zh-CN"/>
        </w:rPr>
        <w:t>区域部门</w:t>
      </w:r>
      <w:bookmarkEnd w:id="15"/>
    </w:p>
    <w:p/>
    <w:p>
      <w:pPr>
        <w:pStyle w:val="2"/>
        <w:rPr>
          <w:rStyle w:val="16"/>
        </w:rPr>
      </w:pPr>
      <w:bookmarkStart w:id="16" w:name="_Toc26922"/>
      <w:r>
        <w:rPr>
          <w:rStyle w:val="16"/>
        </w:rPr>
        <w:t>第十二篇财政、财产、契约及诉讼</w:t>
      </w:r>
      <w:bookmarkEnd w:id="16"/>
    </w:p>
    <w:p>
      <w:pPr>
        <w:rPr>
          <w:rStyle w:val="16"/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各个部门财政独立，互不隶属，独立结算</w:t>
      </w:r>
    </w:p>
    <w:p>
      <w:pPr>
        <w:rPr>
          <w:rStyle w:val="16"/>
        </w:rPr>
      </w:pPr>
    </w:p>
    <w:p>
      <w:pPr>
        <w:pStyle w:val="2"/>
      </w:pPr>
      <w:bookmarkStart w:id="17" w:name="_Toc9250"/>
      <w:bookmarkStart w:id="18" w:name="_Toc29856"/>
      <w:r>
        <w:t>第十五篇选举</w:t>
      </w:r>
      <w:r>
        <w:br w:type="textWrapping"/>
      </w:r>
      <w:bookmarkEnd w:id="17"/>
      <w:bookmarkEnd w:id="18"/>
    </w:p>
    <w:p>
      <w:pPr>
        <w:pStyle w:val="2"/>
      </w:pPr>
      <w:bookmarkStart w:id="19" w:name="_Toc5252"/>
      <w:bookmarkStart w:id="20" w:name="_Toc10350"/>
      <w:r>
        <w:t>第十七篇</w:t>
      </w:r>
      <w:r>
        <w:rPr>
          <w:rFonts w:hint="eastAsia"/>
          <w:lang w:eastAsia="zh-CN"/>
        </w:rPr>
        <w:t>交流</w:t>
      </w:r>
      <w:r>
        <w:t>语言文字</w:t>
      </w:r>
      <w:bookmarkEnd w:id="19"/>
      <w:bookmarkEnd w:id="20"/>
    </w:p>
    <w:p>
      <w:pPr>
        <w:pStyle w:val="2"/>
      </w:pPr>
      <w:bookmarkStart w:id="21" w:name="_Toc31373"/>
      <w:bookmarkStart w:id="22" w:name="_Toc5669"/>
      <w:r>
        <w:t>第十八篇紧急状态</w:t>
      </w:r>
      <w:r>
        <w:br w:type="textWrapping"/>
      </w:r>
      <w:bookmarkEnd w:id="21"/>
      <w:bookmarkEnd w:id="22"/>
    </w:p>
    <w:p>
      <w:pPr>
        <w:pStyle w:val="2"/>
      </w:pPr>
      <w:bookmarkStart w:id="23" w:name="_Toc18938"/>
      <w:bookmarkStart w:id="24" w:name="_Toc20105"/>
      <w:r>
        <w:t>第十九篇其他事项</w:t>
      </w:r>
      <w:r>
        <w:br w:type="textWrapping"/>
      </w:r>
      <w:bookmarkEnd w:id="23"/>
      <w:bookmarkEnd w:id="24"/>
    </w:p>
    <w:p>
      <w:pPr>
        <w:pStyle w:val="2"/>
      </w:pPr>
      <w:bookmarkStart w:id="25" w:name="_Toc13771"/>
      <w:bookmarkStart w:id="26" w:name="_Toc2547"/>
      <w:r>
        <w:t>第二十篇本</w:t>
      </w:r>
      <w:r>
        <w:rPr>
          <w:rFonts w:hint="eastAsia"/>
          <w:lang w:eastAsia="zh-CN"/>
        </w:rPr>
        <w:t>基本法</w:t>
      </w:r>
      <w:r>
        <w:t>之修正</w:t>
      </w:r>
      <w:r>
        <w:br w:type="textWrapping"/>
      </w:r>
      <w:bookmarkEnd w:id="25"/>
      <w:bookmarkEnd w:id="26"/>
    </w:p>
    <w:p>
      <w:pPr>
        <w:pStyle w:val="2"/>
      </w:pPr>
      <w:bookmarkStart w:id="27" w:name="_Toc2045"/>
      <w:bookmarkStart w:id="28" w:name="_Toc11874"/>
      <w:r>
        <w:t>第二十一篇临时性、过渡性条款和特别条款</w:t>
      </w:r>
      <w:bookmarkEnd w:id="27"/>
      <w:bookmarkEnd w:id="28"/>
    </w:p>
    <w:p>
      <w:pPr>
        <w:pStyle w:val="2"/>
      </w:pPr>
      <w:bookmarkStart w:id="29" w:name="_Toc9378"/>
      <w:bookmarkStart w:id="30" w:name="_Toc28607"/>
      <w:r>
        <w:t>第二十二篇简称、开始实施日期及废除</w:t>
      </w:r>
      <w:bookmarkEnd w:id="29"/>
      <w:bookmarkEnd w:id="30"/>
    </w:p>
    <w:p>
      <w:pPr>
        <w:pStyle w:val="2"/>
        <w:rPr>
          <w:rStyle w:val="16"/>
        </w:rPr>
      </w:pPr>
      <w:bookmarkStart w:id="31" w:name="_Toc18332"/>
      <w:r>
        <w:rPr>
          <w:rFonts w:hint="eastAsia"/>
          <w:lang w:eastAsia="zh-CN"/>
        </w:rPr>
        <w:t>》》》各种附表</w:t>
      </w:r>
      <w:r>
        <w:rPr>
          <w:rFonts w:hint="eastAsia"/>
        </w:rPr>
        <w:br w:type="textWrapping"/>
      </w:r>
      <w:bookmarkEnd w:id="31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0F04C4"/>
    <w:multiLevelType w:val="multilevel"/>
    <w:tmpl w:val="8B0F04C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521A19"/>
    <w:rsid w:val="02012436"/>
    <w:rsid w:val="08080FBF"/>
    <w:rsid w:val="08E475E2"/>
    <w:rsid w:val="09534444"/>
    <w:rsid w:val="0CE466F3"/>
    <w:rsid w:val="0D8078BF"/>
    <w:rsid w:val="135840BD"/>
    <w:rsid w:val="18CA5685"/>
    <w:rsid w:val="1ACB556E"/>
    <w:rsid w:val="1B791AA8"/>
    <w:rsid w:val="1E8C65D2"/>
    <w:rsid w:val="24B0748A"/>
    <w:rsid w:val="24C27054"/>
    <w:rsid w:val="273E1B7A"/>
    <w:rsid w:val="280650CB"/>
    <w:rsid w:val="2AE61DF1"/>
    <w:rsid w:val="2D2709E7"/>
    <w:rsid w:val="33F939B5"/>
    <w:rsid w:val="34E05BF8"/>
    <w:rsid w:val="350855ED"/>
    <w:rsid w:val="35556EC7"/>
    <w:rsid w:val="359F5FD5"/>
    <w:rsid w:val="37EC43EE"/>
    <w:rsid w:val="3E6E4D7A"/>
    <w:rsid w:val="3ED97F8D"/>
    <w:rsid w:val="420E3FB8"/>
    <w:rsid w:val="48820BD5"/>
    <w:rsid w:val="4FED59AD"/>
    <w:rsid w:val="50422C5C"/>
    <w:rsid w:val="50C72207"/>
    <w:rsid w:val="56763CF1"/>
    <w:rsid w:val="57296968"/>
    <w:rsid w:val="5B771AE4"/>
    <w:rsid w:val="5D7C51F6"/>
    <w:rsid w:val="5EE2153E"/>
    <w:rsid w:val="63C31144"/>
    <w:rsid w:val="65566632"/>
    <w:rsid w:val="65E15D49"/>
    <w:rsid w:val="661404CD"/>
    <w:rsid w:val="683F4376"/>
    <w:rsid w:val="6D535020"/>
    <w:rsid w:val="71521A19"/>
    <w:rsid w:val="79D57246"/>
    <w:rsid w:val="7BF711B2"/>
    <w:rsid w:val="7C95606B"/>
    <w:rsid w:val="7E2A0406"/>
    <w:rsid w:val="7E6A6949"/>
    <w:rsid w:val="7E9B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2018-10-05T09:27:00Z</dcterms:created>
  <dc:creator>ATI老哇的爪子007</dc:creator>
  <cp:lastModifiedBy>ATI老哇的爪子007</cp:lastModifiedBy>
  <dcterms:modified xsi:type="dcterms:W3CDTF">2018-10-05T10:40:19Z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