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常见财政与统计体系的建设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5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1" w:name="_GoBack"/>
          <w:bookmarkEnd w:id="1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按照时间分为月度 季度 年度统计数据</w:t>
          </w:r>
          <w:r>
            <w:tab/>
          </w:r>
          <w:r>
            <w:fldChar w:fldCharType="begin"/>
          </w:r>
          <w:r>
            <w:instrText xml:space="preserve"> PAGEREF _Toc19830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常见经济数据 统计指标</w:t>
          </w:r>
          <w:r>
            <w:tab/>
          </w:r>
          <w:r>
            <w:fldChar w:fldCharType="begin"/>
          </w:r>
          <w:r>
            <w:instrText xml:space="preserve"> PAGEREF _Toc7616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财务三大表 （资产负债表 现金流表 收入支出表）</w:t>
          </w:r>
          <w:r>
            <w:tab/>
          </w:r>
          <w:r>
            <w:fldChar w:fldCharType="begin"/>
          </w:r>
          <w:r>
            <w:instrText xml:space="preserve"> PAGEREF _Toc9760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阿提拉关注的信用卡指标</w:t>
          </w:r>
          <w:r>
            <w:tab/>
          </w:r>
          <w:r>
            <w:fldChar w:fldCharType="begin"/>
          </w:r>
          <w:r>
            <w:instrText xml:space="preserve"> PAGEREF _Toc16504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t>对外经济</w:t>
          </w:r>
          <w:r>
            <w:tab/>
          </w:r>
          <w:r>
            <w:fldChar w:fldCharType="begin"/>
          </w:r>
          <w:r>
            <w:instrText xml:space="preserve"> PAGEREF _Toc14718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常见财政体系</w:t>
          </w:r>
          <w:r>
            <w:tab/>
          </w:r>
          <w:r>
            <w:fldChar w:fldCharType="begin"/>
          </w:r>
          <w:r>
            <w:instrText xml:space="preserve"> PAGEREF _Toc3823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财政收入</w:t>
          </w:r>
          <w:r>
            <w:rPr>
              <w:rFonts w:asciiTheme="minorHAnsi" w:hAnsiTheme="minorHAnsi" w:eastAsiaTheme="minorEastAsia" w:cstheme="minorBidi"/>
              <w:kern w:val="0"/>
              <w:szCs w:val="24"/>
              <w:lang w:val="en-US" w:eastAsia="zh-CN" w:bidi="ar"/>
            </w:rPr>
            <w:t> </w:t>
          </w:r>
          <w:r>
            <w:rPr>
              <w:rFonts w:hint="eastAsia" w:cstheme="minorBidi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入。</w:t>
          </w:r>
          <w:r>
            <w:tab/>
          </w:r>
          <w:r>
            <w:fldChar w:fldCharType="begin"/>
          </w:r>
          <w:r>
            <w:instrText xml:space="preserve"> PAGEREF _Toc17149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0"/>
              <w:szCs w:val="24"/>
              <w:lang w:val="en-US" w:eastAsia="zh-CN" w:bidi="ar"/>
            </w:rPr>
            <w:t xml:space="preserve">3.2.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财政支出</w:t>
          </w:r>
          <w:r>
            <w:rPr>
              <w:rFonts w:asciiTheme="minorHAnsi" w:hAnsiTheme="minorHAnsi" w:eastAsiaTheme="minorEastAsia" w:cstheme="minorBidi"/>
              <w:kern w:val="0"/>
              <w:szCs w:val="24"/>
              <w:lang w:val="en-US" w:eastAsia="zh-CN" w:bidi="ar"/>
            </w:rPr>
            <w:t> </w:t>
          </w:r>
          <w:r>
            <w:tab/>
          </w:r>
          <w:r>
            <w:fldChar w:fldCharType="begin"/>
          </w:r>
          <w:r>
            <w:instrText xml:space="preserve"> PAGEREF _Toc26590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3.3.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外债偿债率 </w:t>
          </w:r>
          <w:r>
            <w:rPr>
              <w:rFonts w:asciiTheme="minorHAnsi" w:hAnsiTheme="minorHAnsi" w:eastAsiaTheme="minorEastAsia" w:cstheme="minorBidi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指偿还外债本息与收入之比</w:t>
          </w:r>
          <w:r>
            <w:tab/>
          </w:r>
          <w:r>
            <w:fldChar w:fldCharType="begin"/>
          </w:r>
          <w:r>
            <w:instrText xml:space="preserve"> PAGEREF _Toc23437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外债负债率</w:t>
          </w:r>
          <w:r>
            <w:rPr>
              <w:rFonts w:asciiTheme="minorHAnsi" w:hAnsiTheme="minorHAnsi" w:eastAsiaTheme="minorEastAsia" w:cstheme="minorBidi"/>
              <w:kern w:val="0"/>
              <w:szCs w:val="24"/>
              <w:lang w:val="en-US" w:eastAsia="zh-CN" w:bidi="ar"/>
            </w:rPr>
            <w:t xml:space="preserve"> 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指外债余额与当年国内生产总值之比。</w:t>
          </w:r>
          <w:r>
            <w:tab/>
          </w:r>
          <w:r>
            <w:fldChar w:fldCharType="begin"/>
          </w:r>
          <w:r>
            <w:instrText xml:space="preserve"> PAGEREF _Toc10557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0"/>
              <w:szCs w:val="24"/>
              <w:lang w:val="en-US" w:eastAsia="zh-CN" w:bidi="ar"/>
            </w:rPr>
            <w:t xml:space="preserve">3.5.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外债债务率</w:t>
          </w:r>
          <w:r>
            <w:rPr>
              <w:rFonts w:asciiTheme="minorHAnsi" w:hAnsiTheme="minorHAnsi" w:eastAsiaTheme="minorEastAsia" w:cstheme="minorBidi"/>
              <w:kern w:val="0"/>
              <w:szCs w:val="24"/>
              <w:lang w:val="en-US" w:eastAsia="zh-CN" w:bidi="ar"/>
            </w:rPr>
            <w:t xml:space="preserve">  </w:t>
          </w:r>
          <w:r>
            <w:rPr>
              <w:rFonts w:hint="eastAsia" w:asciiTheme="minorHAnsi" w:hAnsiTheme="minorHAnsi" w:eastAsiaTheme="minorEastAsia" w:cstheme="minorBidi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外债余额之比</w:t>
          </w:r>
          <w:r>
            <w:tab/>
          </w:r>
          <w:r>
            <w:fldChar w:fldCharType="begin"/>
          </w:r>
          <w:r>
            <w:instrText xml:space="preserve"> PAGEREF _Toc5855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19830"/>
      <w:r>
        <w:rPr>
          <w:rFonts w:hint="eastAsia"/>
          <w:lang w:val="en-US" w:eastAsia="zh-CN"/>
        </w:rPr>
        <w:t>按照时间分为月度 季度 年度统计数据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7616"/>
      <w:r>
        <w:rPr>
          <w:rFonts w:hint="eastAsia"/>
          <w:lang w:val="en-US" w:eastAsia="zh-CN"/>
        </w:rPr>
        <w:t>常见经济数据 统计指标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物价表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年度gdp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信用卡余额总额 与明细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信用卡额度使用占比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借记卡余额总额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月度最低还款总额 有走势图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应收账款 要账民丹表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支出表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9760"/>
      <w:r>
        <w:rPr>
          <w:rFonts w:hint="eastAsia"/>
          <w:lang w:val="en-US" w:eastAsia="zh-CN"/>
        </w:rPr>
        <w:t>财务三大表 （资产负债表 现金流表 收入支出表）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固定资产投资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大额投资与支出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偿债率   负债率  债务率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16504"/>
      <w:r>
        <w:rPr>
          <w:rFonts w:hint="eastAsia"/>
          <w:lang w:val="en-US" w:eastAsia="zh-CN"/>
        </w:rPr>
        <w:t>阿提拉关注的信用卡指标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总利息   手续费  利息比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分期占用总额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总余额   总使用额 可使用总额</w:t>
      </w:r>
    </w:p>
    <w:p>
      <w:pPr>
        <w:pStyle w:val="3"/>
        <w:keepNext w:val="0"/>
        <w:keepLines w:val="0"/>
        <w:widowControl/>
        <w:suppressLineNumbers w:val="0"/>
      </w:pPr>
      <w:bookmarkStart w:id="4" w:name="_Toc14718"/>
      <w:r>
        <w:t>对外经济</w:t>
      </w:r>
      <w:bookmarkEnd w:id="4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823"/>
      <w:r>
        <w:rPr>
          <w:rFonts w:hint="eastAsia"/>
          <w:lang w:val="en-US" w:eastAsia="zh-CN"/>
        </w:rPr>
        <w:t>常见财政体系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　</w:t>
      </w:r>
      <w:bookmarkStart w:id="6" w:name="_Toc17149"/>
      <w:r>
        <w:rPr>
          <w:rStyle w:val="15"/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财政收入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 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入。</w:t>
      </w:r>
      <w:bookmarkEnd w:id="6"/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bidi w:val="0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bookmarkStart w:id="7" w:name="_Toc26590"/>
      <w:r>
        <w:rPr>
          <w:rStyle w:val="15"/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财政支出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 </w:t>
      </w:r>
      <w:bookmarkEnd w:id="7"/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/>
        <w:jc w:val="left"/>
        <w:rPr>
          <w:rFonts w:hint="default"/>
          <w:lang w:val="en-US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指  财政将筹集起来的资金进行分配使用，以满足经济建设和各项事业的需要。主要包括：一般公共服务、外交、国防、公共安全、教育、科学技术、文化体育与传 媒、社会保障和就业、医疗卫生、环境保护、城乡社区事务、农林水事务、交通运输、资源勘探电力信息等事务、商业服务等事务、金融监管支出、国土气象等事 务、住房保障支出、粮油物资储备管理等事务、国债付息支出等方面的支出。 </w:t>
      </w:r>
    </w:p>
    <w:p>
      <w:pPr>
        <w:pStyle w:val="3"/>
        <w:bidi w:val="0"/>
        <w:rPr>
          <w:rStyle w:val="15"/>
          <w:rFonts w:hint="default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　</w:t>
      </w:r>
      <w:bookmarkStart w:id="8" w:name="_Toc23437"/>
      <w:r>
        <w:rPr>
          <w:rStyle w:val="15"/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外债偿债率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指偿还外债本息与收入之比</w:t>
      </w:r>
      <w:bookmarkEnd w:id="8"/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指偿还外债本息与当年贸易和非贸易外汇收入（国际收支口径）之比。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bidi w:val="0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bookmarkStart w:id="9" w:name="_Toc10557"/>
      <w:r>
        <w:rPr>
          <w:rStyle w:val="15"/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外债负债率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指外债余额与当年国内生产总值之比。</w:t>
      </w:r>
      <w:bookmarkEnd w:id="9"/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bidi w:val="0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bookmarkStart w:id="10" w:name="_Toc5855"/>
      <w:r>
        <w:rPr>
          <w:rStyle w:val="15"/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外债债务率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外债余额之比</w:t>
      </w:r>
      <w:bookmarkEnd w:id="10"/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指外债余额与当年贸易和非贸易外汇收入（国际收支口径）之比。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C0CD8"/>
    <w:multiLevelType w:val="multilevel"/>
    <w:tmpl w:val="5A7C0CD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D2E27"/>
    <w:rsid w:val="113C7E42"/>
    <w:rsid w:val="12653174"/>
    <w:rsid w:val="20F72D2E"/>
    <w:rsid w:val="2F70562B"/>
    <w:rsid w:val="3DC42206"/>
    <w:rsid w:val="40807A4D"/>
    <w:rsid w:val="41C87621"/>
    <w:rsid w:val="520974B8"/>
    <w:rsid w:val="61621339"/>
    <w:rsid w:val="720D2E27"/>
    <w:rsid w:val="7A0232B1"/>
    <w:rsid w:val="7EAF5EEE"/>
    <w:rsid w:val="7F2457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2019-07-24T10:40:00Z</dcterms:created>
  <dc:creator>ATI老哇的爪子007</dc:creator>
  <cp:lastModifiedBy>ATI老哇的爪子007</cp:lastModifiedBy>
  <dcterms:modified xsi:type="dcterms:W3CDTF">2019-07-24T11:01:09Z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