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中国在国际社会很孤立</w:t>
      </w:r>
    </w:p>
    <w:p>
      <w:pPr>
        <w:rPr>
          <w:rFonts w:hint="eastAsia"/>
          <w:lang w:val="en-US" w:eastAsia="zh-CN"/>
        </w:rPr>
      </w:pPr>
    </w:p>
    <w:p>
      <w:pPr>
        <w:rPr>
          <w:rFonts w:hint="default"/>
          <w:lang w:val="en-US" w:eastAsia="zh-CN"/>
        </w:rPr>
      </w:pPr>
      <w:r>
        <w:rPr>
          <w:rFonts w:ascii="Segoe UI" w:hAnsi="Segoe UI" w:eastAsia="Segoe UI" w:cs="Segoe UI"/>
          <w:i w:val="0"/>
          <w:caps w:val="0"/>
          <w:color w:val="333333"/>
          <w:spacing w:val="0"/>
          <w:sz w:val="16"/>
          <w:szCs w:val="16"/>
        </w:rPr>
        <w:t>自然资源。</w:t>
      </w:r>
      <w:r>
        <w:rPr>
          <w:rFonts w:hint="default" w:ascii="Segoe UI" w:hAnsi="Segoe UI" w:eastAsia="Segoe UI" w:cs="Segoe UI"/>
          <w:i w:val="0"/>
          <w:caps w:val="0"/>
          <w:color w:val="333333"/>
          <w:spacing w:val="0"/>
          <w:sz w:val="16"/>
          <w:szCs w:val="16"/>
        </w:rPr>
        <w:t>我敢肯定，中国（中国）比一些中国公民对这一事实的了解要多得多，他们对与中国打交道的发展中国家的人民和政府的想法似乎非常妄想。成为“朋友”和保证效忠有很大的不同。如果不是这样，则中国将没有探矿国提供援助，以换取承认中国是取代台湾（ROC）的中国合法政府。现实情况是，如果中华民国拥有相同的财政实力，大多数国家就不会求助于中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19"/>
    <w:rsid w:val="00285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2019-12-10T12:57:00Z</dcterms:created>
  <dc:creator>ATI老哇的爪子007</dc:creator>
  <cp:lastModifiedBy>ATI老哇的爪子007</cp:lastModifiedBy>
  <dcterms:modified xsi:type="dcterms:W3CDTF">2019-12-10T12:57:17Z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