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命名的通用性还是精确化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  <w:t>适中比较好。，。。太精确了可读性好，但可扩展性就差了。。。就好像法律，宪法更抽象，但更容易解释宽广。。。具体需要使用具体的法规来执行比较好。细化。。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  <w:t>个人建议俩步走，表格使用通用，但是使用view视图机制来使他精确化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  <w:t>U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  <w:t>i方面。。控件名称可以抽象一层通用化，但lable可以精确化。。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  <w:t>代码层级，，base通用化，，具体实现类 精确化，，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15"/>
          <w:szCs w:val="15"/>
          <w:shd w:val="clear" w:fill="FFFFFF"/>
          <w:lang w:val="en-US" w:eastAsia="zh-CN" w:bidi="ar"/>
        </w:rPr>
        <w:t>代码通用化，，注释精确化。。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C46AB"/>
    <w:rsid w:val="207C4AFD"/>
    <w:rsid w:val="45946081"/>
    <w:rsid w:val="519C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2019-12-17T04:08:00Z</dcterms:created>
  <dc:creator>ATI老哇的爪子007</dc:creator>
  <cp:lastModifiedBy>ATI老哇的爪子007</cp:lastModifiedBy>
  <dcterms:modified xsi:type="dcterms:W3CDTF">2019-12-17T04:09:47Z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