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bookmarkStart w:id="15" w:name="_GoBack"/>
      <w:r>
        <w:rPr>
          <w:rFonts w:hint="eastAsia"/>
          <w:lang w:val="en-US" w:eastAsia="zh-CN"/>
        </w:rPr>
        <w:t>Atitit 登录账号管理法passport v4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62343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_Toc15437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 </w:t>
          </w:r>
          <w:r>
            <w:rPr>
              <w:rFonts w:hint="eastAsia"/>
              <w:lang w:val="en-US" w:eastAsia="zh-CN"/>
            </w:rPr>
            <w:t>总则</w:t>
          </w:r>
          <w:r>
            <w:tab/>
          </w:r>
          <w:r>
            <w:fldChar w:fldCharType="begin"/>
          </w:r>
          <w:r>
            <w:instrText xml:space="preserve"> PAGEREF _Toc15437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_Toc4220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 </w:t>
          </w:r>
          <w:r>
            <w:rPr>
              <w:rFonts w:hint="eastAsia"/>
              <w:lang w:val="en-US" w:eastAsia="zh-CN"/>
            </w:rPr>
            <w:t>身份分类登录账号 管理员 操作人员  普通用户</w:t>
          </w:r>
          <w:r>
            <w:tab/>
          </w:r>
          <w:r>
            <w:fldChar w:fldCharType="begin"/>
          </w:r>
          <w:r>
            <w:instrText xml:space="preserve"> PAGEREF _Toc4220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_Toc15514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1.2. </w:t>
          </w:r>
          <w:r>
            <w:rPr>
              <w:rFonts w:hint="eastAsia"/>
              <w:lang w:val="en-US" w:eastAsia="zh-CN"/>
            </w:rPr>
            <w:t>安全考虑，必须单独分开的账号储存表，使用不同等加密技术与秘钥</w:t>
          </w:r>
          <w:r>
            <w:tab/>
          </w:r>
          <w:r>
            <w:fldChar w:fldCharType="begin"/>
          </w:r>
          <w:r>
            <w:instrText xml:space="preserve"> PAGEREF _Toc15514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_Toc27563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1.3. </w:t>
          </w:r>
          <w:r>
            <w:rPr>
              <w:rFonts w:hint="default"/>
              <w:lang w:val="en-US" w:eastAsia="zh-CN"/>
            </w:rPr>
            <w:t xml:space="preserve">第三条 </w:t>
          </w:r>
          <w:r>
            <w:rPr>
              <w:rFonts w:hint="eastAsia"/>
              <w:lang w:val="en-US" w:eastAsia="zh-CN"/>
            </w:rPr>
            <w:t>登录账号</w:t>
          </w:r>
          <w:r>
            <w:rPr>
              <w:rFonts w:hint="default"/>
              <w:lang w:val="en-US" w:eastAsia="zh-CN"/>
            </w:rPr>
            <w:t>登记的项目包括：</w:t>
          </w:r>
          <w:r>
            <w:rPr>
              <w:rFonts w:hint="eastAsia"/>
              <w:lang w:val="en-US" w:eastAsia="zh-CN"/>
            </w:rPr>
            <w:t>acc登录账号，密码（加密存储），密码签名，acctype账号类型（uname，eml，手机），</w:t>
          </w:r>
          <w:r>
            <w:rPr>
              <w:rFonts w:hint="default"/>
              <w:lang w:val="en-US" w:eastAsia="zh-CN"/>
            </w:rPr>
            <w:t>姓名、出生日期、住址、身份号码、本人相片、</w:t>
          </w:r>
          <w:r>
            <w:rPr>
              <w:rFonts w:hint="eastAsia"/>
              <w:lang w:val="en-US" w:eastAsia="zh-CN"/>
            </w:rPr>
            <w:t xml:space="preserve"> </w:t>
          </w:r>
          <w:r>
            <w:rPr>
              <w:rFonts w:hint="default"/>
              <w:lang w:val="en-US" w:eastAsia="zh-CN"/>
            </w:rPr>
            <w:t>有效期和签发机关。</w:t>
          </w:r>
          <w:r>
            <w:rPr>
              <w:rFonts w:hint="eastAsia"/>
              <w:lang w:val="en-US" w:eastAsia="zh-CN"/>
            </w:rPr>
            <w:t>Id编码</w:t>
          </w:r>
          <w:r>
            <w:tab/>
          </w:r>
          <w:r>
            <w:fldChar w:fldCharType="begin"/>
          </w:r>
          <w:r>
            <w:instrText xml:space="preserve"> PAGEREF _Toc27563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_Toc31721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Arial" w:hAnsi="Arial" w:eastAsia="宋体" w:cs="Arial"/>
              <w:i w:val="0"/>
              <w:caps w:val="0"/>
              <w:spacing w:val="0"/>
              <w:kern w:val="0"/>
              <w:szCs w:val="14"/>
              <w:shd w:val="clear" w:fill="FFFFFF"/>
              <w:lang w:val="en-US" w:eastAsia="zh-CN" w:bidi="ar"/>
            </w:rPr>
            <w:t xml:space="preserve">1.4. </w:t>
          </w:r>
          <w:r>
            <w:rPr>
              <w:rFonts w:hint="eastAsia" w:ascii="Arial" w:hAnsi="Arial" w:eastAsia="宋体" w:cs="Arial"/>
              <w:i w:val="0"/>
              <w:caps w:val="0"/>
              <w:spacing w:val="0"/>
              <w:kern w:val="0"/>
              <w:szCs w:val="14"/>
              <w:shd w:val="clear" w:fill="FFFFFF"/>
              <w:lang w:val="en-US" w:eastAsia="zh-CN" w:bidi="ar"/>
            </w:rPr>
            <w:t>登录账号</w:t>
          </w:r>
          <w:r>
            <w:rPr>
              <w:rFonts w:hint="eastAsia"/>
              <w:lang w:val="en-US" w:eastAsia="zh-CN"/>
            </w:rPr>
            <w:t>Id编码</w:t>
          </w:r>
          <w:r>
            <w:rPr>
              <w:rFonts w:hint="default" w:ascii="Arial" w:hAnsi="Arial" w:eastAsia="宋体" w:cs="Arial"/>
              <w:i w:val="0"/>
              <w:caps w:val="0"/>
              <w:spacing w:val="0"/>
              <w:kern w:val="0"/>
              <w:szCs w:val="14"/>
              <w:shd w:val="clear" w:fill="FFFFFF"/>
              <w:lang w:val="en-US" w:eastAsia="zh-CN" w:bidi="ar"/>
            </w:rPr>
            <w:t>号码是每个</w:t>
          </w:r>
          <w:r>
            <w:rPr>
              <w:rFonts w:hint="eastAsia" w:ascii="Arial" w:hAnsi="Arial" w:eastAsia="宋体" w:cs="Arial"/>
              <w:i w:val="0"/>
              <w:caps w:val="0"/>
              <w:spacing w:val="0"/>
              <w:kern w:val="0"/>
              <w:szCs w:val="14"/>
              <w:shd w:val="clear" w:fill="FFFFFF"/>
              <w:lang w:val="en-US" w:eastAsia="zh-CN" w:bidi="ar"/>
            </w:rPr>
            <w:t>用户</w:t>
          </w:r>
          <w:r>
            <w:rPr>
              <w:rFonts w:hint="default" w:ascii="Arial" w:hAnsi="Arial" w:eastAsia="宋体" w:cs="Arial"/>
              <w:i w:val="0"/>
              <w:caps w:val="0"/>
              <w:spacing w:val="0"/>
              <w:kern w:val="0"/>
              <w:szCs w:val="14"/>
              <w:shd w:val="clear" w:fill="FFFFFF"/>
              <w:lang w:val="en-US" w:eastAsia="zh-CN" w:bidi="ar"/>
            </w:rPr>
            <w:t>唯一的、终身不变的身份代码，由</w:t>
          </w:r>
          <w:r>
            <w:rPr>
              <w:rFonts w:hint="eastAsia" w:ascii="Arial" w:hAnsi="Arial" w:eastAsia="宋体" w:cs="Arial"/>
              <w:i w:val="0"/>
              <w:caps w:val="0"/>
              <w:spacing w:val="0"/>
              <w:kern w:val="0"/>
              <w:szCs w:val="14"/>
              <w:shd w:val="clear" w:fill="FFFFFF"/>
              <w:lang w:val="en-US" w:eastAsia="zh-CN" w:bidi="ar"/>
            </w:rPr>
            <w:t xml:space="preserve"> </w:t>
          </w:r>
          <w:r>
            <w:rPr>
              <w:rFonts w:hint="default" w:ascii="Arial" w:hAnsi="Arial" w:eastAsia="宋体" w:cs="Arial"/>
              <w:i w:val="0"/>
              <w:caps w:val="0"/>
              <w:spacing w:val="0"/>
              <w:kern w:val="0"/>
              <w:szCs w:val="14"/>
              <w:shd w:val="clear" w:fill="FFFFFF"/>
              <w:lang w:val="en-US" w:eastAsia="zh-CN" w:bidi="ar"/>
            </w:rPr>
            <w:t>机关按照</w:t>
          </w:r>
          <w:r>
            <w:rPr>
              <w:rFonts w:hint="eastAsia" w:ascii="Arial" w:hAnsi="Arial" w:eastAsia="宋体" w:cs="Arial"/>
              <w:i w:val="0"/>
              <w:caps w:val="0"/>
              <w:spacing w:val="0"/>
              <w:kern w:val="0"/>
              <w:szCs w:val="14"/>
              <w:shd w:val="clear" w:fill="FFFFFF"/>
              <w:lang w:val="en-US" w:eastAsia="zh-CN" w:bidi="ar"/>
            </w:rPr>
            <w:t>用户</w:t>
          </w:r>
          <w:r>
            <w:rPr>
              <w:rFonts w:hint="default" w:ascii="Arial" w:hAnsi="Arial" w:eastAsia="宋体" w:cs="Arial"/>
              <w:i w:val="0"/>
              <w:caps w:val="0"/>
              <w:spacing w:val="0"/>
              <w:kern w:val="0"/>
              <w:szCs w:val="14"/>
              <w:shd w:val="clear" w:fill="FFFFFF"/>
              <w:lang w:val="en-US" w:eastAsia="zh-CN" w:bidi="ar"/>
            </w:rPr>
            <w:t>身份号码标准编制</w:t>
          </w:r>
          <w:r>
            <w:tab/>
          </w:r>
          <w:r>
            <w:fldChar w:fldCharType="begin"/>
          </w:r>
          <w:r>
            <w:instrText xml:space="preserve"> PAGEREF _Toc31721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_Toc3020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2. 第二章 申领和发放</w:t>
          </w:r>
          <w:r>
            <w:tab/>
          </w:r>
          <w:r>
            <w:fldChar w:fldCharType="begin"/>
          </w:r>
          <w:r>
            <w:instrText xml:space="preserve"> PAGEREF _Toc3020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pos="4000"/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_Toc3968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3. 第三章 使用和查验</w:t>
          </w:r>
          <w:r>
            <w:rPr>
              <w:rFonts w:hint="default"/>
              <w:lang w:val="en-US" w:eastAsia="zh-CN"/>
            </w:rPr>
            <w:tab/>
          </w:r>
          <w:r>
            <w:rPr>
              <w:rFonts w:hint="default"/>
              <w:lang w:val="en-US" w:eastAsia="zh-CN"/>
            </w:rPr>
            <w:t>5</w:t>
          </w:r>
          <w:r>
            <w:tab/>
          </w:r>
          <w:r>
            <w:fldChar w:fldCharType="begin"/>
          </w:r>
          <w:r>
            <w:instrText xml:space="preserve"> PAGEREF _Toc3968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_Toc19132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3.1. </w:t>
          </w:r>
          <w:r>
            <w:rPr>
              <w:rFonts w:hint="eastAsia"/>
              <w:lang w:val="en-US" w:eastAsia="zh-CN"/>
            </w:rPr>
            <w:t>查验时机</w:t>
          </w:r>
          <w:r>
            <w:tab/>
          </w:r>
          <w:r>
            <w:fldChar w:fldCharType="begin"/>
          </w:r>
          <w:r>
            <w:instrText xml:space="preserve"> PAGEREF _Toc19132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_Toc25776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3.2. </w:t>
          </w:r>
          <w:r>
            <w:rPr>
              <w:rFonts w:hint="eastAsia"/>
              <w:lang w:val="en-US" w:eastAsia="zh-CN"/>
            </w:rPr>
            <w:t>查验条目</w:t>
          </w:r>
          <w:r>
            <w:tab/>
          </w:r>
          <w:r>
            <w:fldChar w:fldCharType="begin"/>
          </w:r>
          <w:r>
            <w:instrText xml:space="preserve"> PAGEREF _Toc25776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_Toc6090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3.3. </w:t>
          </w:r>
          <w:r>
            <w:rPr>
              <w:rFonts w:hint="eastAsia"/>
              <w:lang w:val="en-US" w:eastAsia="zh-CN"/>
            </w:rPr>
            <w:t>查验防篡改状态（账户名 密码签名等）salt机制。。</w:t>
          </w:r>
          <w:r>
            <w:tab/>
          </w:r>
          <w:r>
            <w:fldChar w:fldCharType="begin"/>
          </w:r>
          <w:r>
            <w:instrText xml:space="preserve"> PAGEREF _Toc6090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_Toc4038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3.4. </w:t>
          </w:r>
          <w:r>
            <w:rPr>
              <w:rFonts w:hint="eastAsia"/>
              <w:lang w:val="en-US" w:eastAsia="zh-CN"/>
            </w:rPr>
            <w:t>黑名单（冻结名单）检查</w:t>
          </w:r>
          <w:r>
            <w:tab/>
          </w:r>
          <w:r>
            <w:fldChar w:fldCharType="begin"/>
          </w:r>
          <w:r>
            <w:instrText xml:space="preserve"> PAGEREF _Toc4038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_Toc30565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3.5. </w:t>
          </w:r>
          <w:r>
            <w:rPr>
              <w:rFonts w:hint="eastAsia"/>
              <w:lang w:val="en-US" w:eastAsia="zh-CN"/>
            </w:rPr>
            <w:t>账号注销状态</w:t>
          </w:r>
          <w:r>
            <w:tab/>
          </w:r>
          <w:r>
            <w:fldChar w:fldCharType="begin"/>
          </w:r>
          <w:r>
            <w:instrText xml:space="preserve"> PAGEREF _Toc30565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_Toc1923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 </w:t>
          </w:r>
          <w:r>
            <w:rPr>
              <w:rFonts w:hint="eastAsia"/>
              <w:lang w:val="en-US" w:eastAsia="zh-CN"/>
            </w:rPr>
            <w:t>系统常用登录账号法 uname 手机号email</w:t>
          </w:r>
          <w:r>
            <w:tab/>
          </w:r>
          <w:r>
            <w:fldChar w:fldCharType="begin"/>
          </w:r>
          <w:r>
            <w:instrText xml:space="preserve"> PAGEREF _Toc1923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_Toc8489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4.1. </w:t>
          </w:r>
          <w:r>
            <w:rPr>
              <w:rFonts w:hint="eastAsia"/>
              <w:lang w:val="en-US" w:eastAsia="zh-CN"/>
            </w:rPr>
            <w:t>Exampl</w:t>
          </w:r>
          <w:r>
            <w:tab/>
          </w:r>
          <w:r>
            <w:fldChar w:fldCharType="begin"/>
          </w:r>
          <w:r>
            <w:instrText xml:space="preserve"> PAGEREF _Toc8489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_Toc22888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 </w:t>
          </w:r>
          <w:r>
            <w:rPr>
              <w:rFonts w:hint="eastAsia"/>
              <w:lang w:val="en-US" w:eastAsia="zh-CN"/>
            </w:rPr>
            <w:t>Ref</w:t>
          </w:r>
          <w:r>
            <w:tab/>
          </w:r>
          <w:r>
            <w:fldChar w:fldCharType="begin"/>
          </w:r>
          <w:r>
            <w:instrText xml:space="preserve"> PAGEREF _Toc22888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  <w:bookmarkEnd w:id="15"/>
        </w:p>
      </w:sdtContent>
    </w:sdt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0" w:name="_Toc15437"/>
      <w:r>
        <w:rPr>
          <w:rFonts w:hint="eastAsia"/>
          <w:lang w:val="en-US" w:eastAsia="zh-CN"/>
        </w:rPr>
        <w:t>总则</w:t>
      </w:r>
      <w:bookmarkEnd w:id="0"/>
    </w:p>
    <w:p>
      <w:pPr>
        <w:pStyle w:val="3"/>
        <w:bidi w:val="0"/>
        <w:ind w:left="575" w:leftChars="0" w:hanging="575" w:firstLineChars="0"/>
        <w:rPr>
          <w:rFonts w:hint="eastAsia"/>
          <w:lang w:val="en-US" w:eastAsia="zh-CN"/>
        </w:rPr>
      </w:pPr>
      <w:bookmarkStart w:id="1" w:name="_Toc4220"/>
      <w:r>
        <w:rPr>
          <w:rFonts w:hint="eastAsia"/>
          <w:lang w:val="en-US" w:eastAsia="zh-CN"/>
        </w:rPr>
        <w:t>身份分类登录账号 管理员 操作人员  普通用户</w:t>
      </w:r>
      <w:bookmarkEnd w:id="1"/>
    </w:p>
    <w:p>
      <w:pPr>
        <w:pStyle w:val="3"/>
        <w:bidi w:val="0"/>
        <w:rPr>
          <w:rFonts w:hint="eastAsia"/>
          <w:lang w:val="en-US" w:eastAsia="zh-CN"/>
        </w:rPr>
      </w:pPr>
      <w:bookmarkStart w:id="2" w:name="_Toc15514"/>
      <w:r>
        <w:rPr>
          <w:rFonts w:hint="eastAsia"/>
          <w:lang w:val="en-US" w:eastAsia="zh-CN"/>
        </w:rPr>
        <w:t>安全考虑，必须单独分开的账号储存表，使用不同等加密技术与秘钥</w:t>
      </w:r>
      <w:bookmarkEnd w:id="2"/>
    </w:p>
    <w:p>
      <w:pPr>
        <w:pStyle w:val="3"/>
        <w:bidi w:val="0"/>
        <w:rPr>
          <w:rFonts w:hint="eastAsia"/>
        </w:rPr>
      </w:pPr>
      <w:bookmarkStart w:id="3" w:name="_Toc27563"/>
      <w:r>
        <w:rPr>
          <w:rFonts w:hint="default"/>
          <w:lang w:val="en-US" w:eastAsia="zh-CN"/>
        </w:rPr>
        <w:t xml:space="preserve">第三条 </w:t>
      </w:r>
      <w:r>
        <w:rPr>
          <w:rFonts w:hint="eastAsia"/>
          <w:lang w:val="en-US" w:eastAsia="zh-CN"/>
        </w:rPr>
        <w:t>登录账号</w:t>
      </w:r>
      <w:r>
        <w:rPr>
          <w:rFonts w:hint="default"/>
          <w:lang w:val="en-US" w:eastAsia="zh-CN"/>
        </w:rPr>
        <w:t>登记的项目包括：</w:t>
      </w:r>
      <w:r>
        <w:rPr>
          <w:rFonts w:hint="eastAsia"/>
          <w:lang w:val="en-US" w:eastAsia="zh-CN"/>
        </w:rPr>
        <w:t>acc登录账号，密码（加密存储），密码签名，acctype账号类型（uname，eml，手机），</w:t>
      </w:r>
      <w:r>
        <w:rPr>
          <w:rFonts w:hint="default"/>
          <w:lang w:val="en-US" w:eastAsia="zh-CN"/>
        </w:rPr>
        <w:t>姓名、出生日期、住址、身份号码、本人相片、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有效期和签发机关。</w:t>
      </w:r>
      <w:r>
        <w:rPr>
          <w:rFonts w:hint="eastAsia"/>
          <w:lang w:val="en-US" w:eastAsia="zh-CN"/>
        </w:rPr>
        <w:t>Id编码</w:t>
      </w:r>
      <w:bookmarkEnd w:id="3"/>
    </w:p>
    <w:p>
      <w:pPr>
        <w:rPr>
          <w:rFonts w:hint="eastAsia"/>
        </w:rPr>
      </w:pPr>
      <w:r>
        <w:rPr>
          <w:rFonts w:hint="eastAsia"/>
          <w:lang w:val="en-US" w:eastAsia="zh-CN"/>
        </w:rPr>
        <w:t>账户名机密存储</w:t>
      </w:r>
    </w:p>
    <w:p>
      <w:pPr>
        <w:pStyle w:val="3"/>
        <w:bidi w:val="0"/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4"/>
          <w:szCs w:val="14"/>
          <w:shd w:val="clear" w:fill="FFFFFF"/>
          <w:lang w:val="en-US" w:eastAsia="zh-CN" w:bidi="ar"/>
        </w:rPr>
      </w:pPr>
      <w:bookmarkStart w:id="4" w:name="_Toc31721"/>
      <w:r>
        <w:rPr>
          <w:rFonts w:hint="eastAsia" w:ascii="Arial" w:hAnsi="Arial" w:eastAsia="宋体" w:cs="Arial"/>
          <w:i w:val="0"/>
          <w:caps w:val="0"/>
          <w:color w:val="333333"/>
          <w:spacing w:val="0"/>
          <w:kern w:val="0"/>
          <w:sz w:val="14"/>
          <w:szCs w:val="14"/>
          <w:shd w:val="clear" w:fill="FFFFFF"/>
          <w:lang w:val="en-US" w:eastAsia="zh-CN" w:bidi="ar"/>
        </w:rPr>
        <w:t>登录账号</w:t>
      </w:r>
      <w:r>
        <w:rPr>
          <w:rFonts w:hint="eastAsia"/>
          <w:lang w:val="en-US" w:eastAsia="zh-CN"/>
        </w:rPr>
        <w:t>Id编码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4"/>
          <w:szCs w:val="14"/>
          <w:shd w:val="clear" w:fill="FFFFFF"/>
          <w:lang w:val="en-US" w:eastAsia="zh-CN" w:bidi="ar"/>
        </w:rPr>
        <w:t>号码是每个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kern w:val="0"/>
          <w:sz w:val="14"/>
          <w:szCs w:val="14"/>
          <w:shd w:val="clear" w:fill="FFFFFF"/>
          <w:lang w:val="en-US" w:eastAsia="zh-CN" w:bidi="ar"/>
        </w:rPr>
        <w:t>用户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4"/>
          <w:szCs w:val="14"/>
          <w:shd w:val="clear" w:fill="FFFFFF"/>
          <w:lang w:val="en-US" w:eastAsia="zh-CN" w:bidi="ar"/>
        </w:rPr>
        <w:t>唯一的、终身不变的身份代码，由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kern w:val="0"/>
          <w:sz w:val="14"/>
          <w:szCs w:val="14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4"/>
          <w:szCs w:val="14"/>
          <w:shd w:val="clear" w:fill="FFFFFF"/>
          <w:lang w:val="en-US" w:eastAsia="zh-CN" w:bidi="ar"/>
        </w:rPr>
        <w:t>机关按照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kern w:val="0"/>
          <w:sz w:val="14"/>
          <w:szCs w:val="14"/>
          <w:shd w:val="clear" w:fill="FFFFFF"/>
          <w:lang w:val="en-US" w:eastAsia="zh-CN" w:bidi="ar"/>
        </w:rPr>
        <w:t>用户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4"/>
          <w:szCs w:val="14"/>
          <w:shd w:val="clear" w:fill="FFFFFF"/>
          <w:lang w:val="en-US" w:eastAsia="zh-CN" w:bidi="ar"/>
        </w:rPr>
        <w:t>身份号码标准编制</w:t>
      </w:r>
      <w:bookmarkEnd w:id="4"/>
    </w:p>
    <w:p>
      <w:pPr>
        <w:keepNext w:val="0"/>
        <w:keepLines w:val="0"/>
        <w:widowControl/>
        <w:suppressLineNumbers w:val="0"/>
        <w:shd w:val="clear" w:fill="FFFFFF"/>
        <w:spacing w:after="150" w:afterAutospacing="0" w:line="240" w:lineRule="atLeast"/>
        <w:ind w:left="0" w:firstLine="420"/>
        <w:jc w:val="left"/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4"/>
          <w:szCs w:val="1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after="150" w:afterAutospacing="0" w:line="240" w:lineRule="atLeast"/>
        <w:ind w:left="0" w:firstLine="420"/>
        <w:jc w:val="left"/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4"/>
          <w:szCs w:val="14"/>
          <w:shd w:val="clear" w:fill="FFFFFF"/>
          <w:lang w:val="en-US" w:eastAsia="zh-CN" w:bidi="ar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5" w:name="_Toc3020"/>
      <w:r>
        <w:rPr>
          <w:rFonts w:hint="default"/>
          <w:lang w:val="en-US" w:eastAsia="zh-CN"/>
        </w:rPr>
        <w:t>第二章 申领和发放</w:t>
      </w:r>
      <w:bookmarkEnd w:id="5"/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6" w:name="_Toc3968"/>
      <w:r>
        <w:rPr>
          <w:rFonts w:hint="default"/>
          <w:lang w:val="en-US" w:eastAsia="zh-CN"/>
        </w:rPr>
        <w:t>第三章 使用和查验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5</w:t>
      </w:r>
      <w:bookmarkEnd w:id="6"/>
    </w:p>
    <w:p>
      <w:pPr>
        <w:pStyle w:val="3"/>
        <w:bidi w:val="0"/>
        <w:rPr>
          <w:rFonts w:hint="default"/>
          <w:lang w:val="en-US" w:eastAsia="zh-CN"/>
        </w:rPr>
      </w:pPr>
      <w:bookmarkStart w:id="7" w:name="_Toc19132"/>
      <w:r>
        <w:rPr>
          <w:rFonts w:hint="eastAsia"/>
          <w:lang w:val="en-US" w:eastAsia="zh-CN"/>
        </w:rPr>
        <w:t>查验时机</w:t>
      </w:r>
      <w:bookmarkEnd w:id="7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定时全盘扫描，找出预警的账号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申领登录票据的时候查验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校验登录票据的时候查验。。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8" w:name="_Toc25776"/>
      <w:r>
        <w:rPr>
          <w:rFonts w:hint="eastAsia"/>
          <w:lang w:val="en-US" w:eastAsia="zh-CN"/>
        </w:rPr>
        <w:t>查验条目</w:t>
      </w:r>
      <w:bookmarkEnd w:id="8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有效期是否已过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是否属于被盗账户库撤销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是否属于被冻结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是否属于风险账户库</w:t>
      </w:r>
    </w:p>
    <w:p>
      <w:pPr>
        <w:rPr>
          <w:rFonts w:hint="eastAsia" w:ascii="Segoe UI Emoji" w:hAnsi="Segoe UI Emoji" w:eastAsia="宋体" w:cs="Segoe UI Emoji"/>
          <w:i w:val="0"/>
          <w:caps w:val="0"/>
          <w:color w:val="404040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ascii="Segoe UI Emoji" w:hAnsi="Segoe UI Emoji" w:eastAsia="Segoe UI Emoji" w:cs="Segoe UI Emoji"/>
          <w:i w:val="0"/>
          <w:caps w:val="0"/>
          <w:color w:val="404040"/>
          <w:spacing w:val="0"/>
          <w:sz w:val="16"/>
          <w:szCs w:val="16"/>
          <w:shd w:val="clear" w:fill="FFFFFF"/>
        </w:rPr>
        <w:t>防伪库</w:t>
      </w:r>
      <w:r>
        <w:rPr>
          <w:rFonts w:hint="eastAsia" w:ascii="Segoe UI Emoji" w:hAnsi="Segoe UI Emoji" w:eastAsia="宋体" w:cs="Segoe UI Emoji"/>
          <w:i w:val="0"/>
          <w:caps w:val="0"/>
          <w:color w:val="404040"/>
          <w:spacing w:val="0"/>
          <w:sz w:val="16"/>
          <w:szCs w:val="16"/>
          <w:shd w:val="clear" w:fill="FFFFFF"/>
          <w:lang w:val="en-US" w:eastAsia="zh-CN"/>
        </w:rPr>
        <w:t>验证</w:t>
      </w:r>
    </w:p>
    <w:p>
      <w:pPr>
        <w:rPr>
          <w:rFonts w:hint="eastAsia" w:ascii="Segoe UI Emoji" w:hAnsi="Segoe UI Emoji" w:eastAsia="宋体" w:cs="Segoe UI Emoji"/>
          <w:i w:val="0"/>
          <w:caps w:val="0"/>
          <w:color w:val="404040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Segoe UI Emoji" w:hAnsi="Segoe UI Emoji" w:eastAsia="宋体" w:cs="Segoe UI Emoji"/>
          <w:i w:val="0"/>
          <w:caps w:val="0"/>
          <w:color w:val="404040"/>
          <w:spacing w:val="0"/>
          <w:sz w:val="16"/>
          <w:szCs w:val="16"/>
          <w:shd w:val="clear" w:fill="FFFFFF"/>
          <w:lang w:val="en-US" w:eastAsia="zh-CN"/>
        </w:rPr>
        <w:t>查验是否白户，有无申请cookie记录，有无登入记录</w:t>
      </w:r>
    </w:p>
    <w:p>
      <w:pPr>
        <w:rPr>
          <w:rFonts w:hint="eastAsia" w:ascii="Segoe UI Emoji" w:hAnsi="Segoe UI Emoji" w:eastAsia="宋体" w:cs="Segoe UI Emoji"/>
          <w:i w:val="0"/>
          <w:caps w:val="0"/>
          <w:color w:val="404040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Segoe UI Emoji" w:hAnsi="Segoe UI Emoji" w:eastAsia="宋体" w:cs="Segoe UI Emoji"/>
          <w:i w:val="0"/>
          <w:caps w:val="0"/>
          <w:color w:val="404040"/>
          <w:spacing w:val="0"/>
          <w:sz w:val="16"/>
          <w:szCs w:val="16"/>
          <w:shd w:val="clear" w:fill="FFFFFF"/>
          <w:lang w:val="en-US" w:eastAsia="zh-CN"/>
        </w:rPr>
        <w:t>加密区MRZ编码验证，防篡改比对（</w:t>
      </w:r>
      <w:r>
        <w:rPr>
          <w:rFonts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五查五比法</w:t>
      </w:r>
      <w:r>
        <w:rPr>
          <w:rFonts w:hint="eastAsia" w:ascii="Segoe UI Emoji" w:hAnsi="Segoe UI Emoji" w:eastAsia="宋体" w:cs="Segoe UI Emoji"/>
          <w:i w:val="0"/>
          <w:caps w:val="0"/>
          <w:color w:val="404040"/>
          <w:spacing w:val="0"/>
          <w:sz w:val="16"/>
          <w:szCs w:val="16"/>
          <w:shd w:val="clear" w:fill="FFFFFF"/>
          <w:lang w:val="en-US" w:eastAsia="zh-CN"/>
        </w:rPr>
        <w:t>）验证用户名，密码签名防篡改</w:t>
      </w:r>
    </w:p>
    <w:p>
      <w:pPr>
        <w:rPr>
          <w:rFonts w:hint="default" w:ascii="Segoe UI Emoji" w:hAnsi="Segoe UI Emoji" w:eastAsia="宋体" w:cs="Segoe UI Emoji"/>
          <w:i w:val="0"/>
          <w:caps w:val="0"/>
          <w:color w:val="404040"/>
          <w:spacing w:val="0"/>
          <w:sz w:val="16"/>
          <w:szCs w:val="16"/>
          <w:shd w:val="clear" w:fill="FFFFFF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9" w:name="_Toc6090"/>
      <w:r>
        <w:rPr>
          <w:rFonts w:hint="eastAsia"/>
          <w:lang w:val="en-US" w:eastAsia="zh-CN"/>
        </w:rPr>
        <w:t>查验防篡改状态（账户名 密码签名等）salt机制。。</w:t>
      </w:r>
      <w:bookmarkEnd w:id="9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防止直接修改密码签名，与账户名，增加账户名机密存储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10" w:name="_Toc4038"/>
      <w:r>
        <w:rPr>
          <w:rFonts w:hint="eastAsia"/>
          <w:lang w:val="en-US" w:eastAsia="zh-CN"/>
        </w:rPr>
        <w:t>黑名单（冻结名单）检查</w:t>
      </w:r>
      <w:bookmarkEnd w:id="10"/>
    </w:p>
    <w:p>
      <w:pPr>
        <w:pStyle w:val="3"/>
        <w:bidi w:val="0"/>
        <w:rPr>
          <w:rFonts w:hint="default"/>
          <w:lang w:val="en-US" w:eastAsia="zh-CN"/>
        </w:rPr>
      </w:pPr>
      <w:bookmarkStart w:id="11" w:name="_Toc30565"/>
      <w:r>
        <w:rPr>
          <w:rFonts w:hint="eastAsia"/>
          <w:lang w:val="en-US" w:eastAsia="zh-CN"/>
        </w:rPr>
        <w:t>账号注销状态</w:t>
      </w:r>
      <w:bookmarkEnd w:id="11"/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pStyle w:val="2"/>
        <w:bidi w:val="0"/>
        <w:rPr>
          <w:rFonts w:hint="default"/>
          <w:lang w:val="en-US" w:eastAsia="zh-CN"/>
        </w:rPr>
      </w:pPr>
      <w:bookmarkStart w:id="12" w:name="_Toc1923"/>
      <w:r>
        <w:rPr>
          <w:rFonts w:hint="eastAsia"/>
          <w:lang w:val="en-US" w:eastAsia="zh-CN"/>
        </w:rPr>
        <w:t>系统常用登录账号法 uname 手机号email</w:t>
      </w:r>
      <w:bookmarkEnd w:id="1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Cookie法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Token法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Session法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13" w:name="_Toc8489"/>
      <w:r>
        <w:rPr>
          <w:rFonts w:hint="eastAsia"/>
          <w:lang w:val="en-US" w:eastAsia="zh-CN"/>
        </w:rPr>
        <w:t>Exampl</w:t>
      </w:r>
      <w:bookmarkEnd w:id="13"/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szCs w:val="34"/>
          <w:shd w:val="clear" w:fill="FFFFFF"/>
          <w:vertAlign w:val="subscript"/>
          <w:lang w:val="en-US" w:eastAsia="zh-CN"/>
        </w:rPr>
      </w:pPr>
      <w:r>
        <w:rPr>
          <w:rFonts w:hint="default"/>
          <w:szCs w:val="34"/>
          <w:shd w:val="clear" w:fill="FFFFFF"/>
          <w:vertAlign w:val="subscript"/>
          <w:lang w:val="en-US" w:eastAsia="zh-CN"/>
        </w:rPr>
        <w:t>C:\wamp\www\imgrtOffice\passportMng.php</w:t>
      </w:r>
    </w:p>
    <w:p>
      <w:pPr>
        <w:rPr>
          <w:rFonts w:hint="default"/>
          <w:szCs w:val="34"/>
          <w:shd w:val="clear" w:fill="FFFFFF"/>
          <w:vertAlign w:val="subscript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&lt;?php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befaPspt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/**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 * 3.1.查验时机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F44747"/>
          <w:kern w:val="0"/>
          <w:sz w:val="14"/>
          <w:szCs w:val="14"/>
          <w:shd w:val="clear" w:fill="1E1E1E"/>
          <w:lang w:val="en-US" w:eastAsia="zh-CN" w:bidi="ar"/>
        </w:rPr>
        <w:t>定时全盘扫描，找出预警的账号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F44747"/>
          <w:kern w:val="0"/>
          <w:sz w:val="14"/>
          <w:szCs w:val="14"/>
          <w:shd w:val="clear" w:fill="1E1E1E"/>
          <w:lang w:val="en-US" w:eastAsia="zh-CN" w:bidi="ar"/>
        </w:rPr>
        <w:t>申领登录票据的时候查验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F44747"/>
          <w:kern w:val="0"/>
          <w:sz w:val="14"/>
          <w:szCs w:val="14"/>
          <w:shd w:val="clear" w:fill="1E1E1E"/>
          <w:lang w:val="en-US" w:eastAsia="zh-CN" w:bidi="ar"/>
        </w:rPr>
        <w:t>校验登录票据的时候查验。。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 *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 *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@return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void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 */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psptChk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//有效期是否已过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// 3.2.查验条目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// 是否属于被盗账户库撤销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// 是否属于被冻结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// 是否属于风险账户库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// 防伪库验证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// 查验是否白户，有无申请cookie记录，有无登入记录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// 加密区MRZ编码验证，防篡改比对（五查五比法）验证用户名，密码签名防篡改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}</w:t>
      </w:r>
    </w:p>
    <w:p>
      <w:pPr>
        <w:rPr>
          <w:rFonts w:hint="default"/>
          <w:szCs w:val="34"/>
          <w:shd w:val="clear" w:fill="FFFFFF"/>
          <w:vertAlign w:val="subscrip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14" w:name="_Toc22888"/>
      <w:r>
        <w:rPr>
          <w:rFonts w:hint="eastAsia"/>
          <w:lang w:val="en-US" w:eastAsia="zh-CN"/>
        </w:rPr>
        <w:t>Ref</w:t>
      </w:r>
      <w:bookmarkEnd w:id="14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关于身份证件的法律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出境入境管理法（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第五十七号）.html</w:t>
      </w:r>
      <w:r>
        <w:rPr>
          <w:rFonts w:hint="eastAsia"/>
          <w:lang w:val="en-US" w:eastAsia="zh-CN"/>
        </w:rPr>
        <w:t xml:space="preserve"> 签证部分</w:t>
      </w:r>
    </w:p>
    <w:p>
      <w:pPr>
        <w:rPr>
          <w:rFonts w:hint="default"/>
          <w:szCs w:val="34"/>
          <w:shd w:val="clear" w:fill="FFFFFF"/>
          <w:vertAlign w:val="subscript"/>
          <w:lang w:val="en-US" w:eastAsia="zh-CN"/>
        </w:rPr>
      </w:pPr>
      <w:r>
        <w:rPr>
          <w:szCs w:val="34"/>
          <w:shd w:val="clear" w:fill="FFFFFF"/>
          <w:vertAlign w:val="subscript"/>
        </w:rPr>
        <w:t>居民身份证法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 Emoji">
    <w:panose1 w:val="020B0502040204020203"/>
    <w:charset w:val="00"/>
    <w:family w:val="auto"/>
    <w:pitch w:val="default"/>
    <w:sig w:usb0="00000001" w:usb1="02000000" w:usb2="00000000" w:usb3="00000000" w:csb0="0000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B64537E"/>
    <w:multiLevelType w:val="multilevel"/>
    <w:tmpl w:val="8B64537E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8EB6287"/>
    <w:rsid w:val="00121768"/>
    <w:rsid w:val="002B5600"/>
    <w:rsid w:val="00C915DB"/>
    <w:rsid w:val="00E22A63"/>
    <w:rsid w:val="026E649C"/>
    <w:rsid w:val="03110048"/>
    <w:rsid w:val="05B8311A"/>
    <w:rsid w:val="07270C91"/>
    <w:rsid w:val="0B937A15"/>
    <w:rsid w:val="0B9F0511"/>
    <w:rsid w:val="0F5679D7"/>
    <w:rsid w:val="122D4A33"/>
    <w:rsid w:val="12424558"/>
    <w:rsid w:val="12596453"/>
    <w:rsid w:val="14095415"/>
    <w:rsid w:val="15046CB5"/>
    <w:rsid w:val="181A363C"/>
    <w:rsid w:val="18233E04"/>
    <w:rsid w:val="197B116E"/>
    <w:rsid w:val="19AB702F"/>
    <w:rsid w:val="19DE7983"/>
    <w:rsid w:val="19FE50DD"/>
    <w:rsid w:val="1C261B5F"/>
    <w:rsid w:val="1C344D04"/>
    <w:rsid w:val="1C9F561C"/>
    <w:rsid w:val="1D0F3106"/>
    <w:rsid w:val="1DE93EA8"/>
    <w:rsid w:val="1FDC282D"/>
    <w:rsid w:val="203343C0"/>
    <w:rsid w:val="20494D60"/>
    <w:rsid w:val="2197342D"/>
    <w:rsid w:val="22730910"/>
    <w:rsid w:val="246F3C92"/>
    <w:rsid w:val="24ED7FCA"/>
    <w:rsid w:val="257E6C6C"/>
    <w:rsid w:val="258D504C"/>
    <w:rsid w:val="26AE57E4"/>
    <w:rsid w:val="28064FCB"/>
    <w:rsid w:val="286D5BAB"/>
    <w:rsid w:val="286D737B"/>
    <w:rsid w:val="28C53D9F"/>
    <w:rsid w:val="28EB6287"/>
    <w:rsid w:val="2B80478D"/>
    <w:rsid w:val="2CC76579"/>
    <w:rsid w:val="2CDC00CE"/>
    <w:rsid w:val="309E7488"/>
    <w:rsid w:val="31E76550"/>
    <w:rsid w:val="3543629E"/>
    <w:rsid w:val="369304C4"/>
    <w:rsid w:val="36DE2A0C"/>
    <w:rsid w:val="37682E47"/>
    <w:rsid w:val="38B16CCD"/>
    <w:rsid w:val="38E16321"/>
    <w:rsid w:val="392C2281"/>
    <w:rsid w:val="3B7116DF"/>
    <w:rsid w:val="3B8177B9"/>
    <w:rsid w:val="3BB25E03"/>
    <w:rsid w:val="3BE34409"/>
    <w:rsid w:val="3D9C15AC"/>
    <w:rsid w:val="3ECD13C2"/>
    <w:rsid w:val="3FBE7B7A"/>
    <w:rsid w:val="423F7652"/>
    <w:rsid w:val="433103B3"/>
    <w:rsid w:val="44D90BA0"/>
    <w:rsid w:val="46272A72"/>
    <w:rsid w:val="47F258C5"/>
    <w:rsid w:val="48A959B9"/>
    <w:rsid w:val="49EA7BFE"/>
    <w:rsid w:val="4AA84DB6"/>
    <w:rsid w:val="4C4C1E4C"/>
    <w:rsid w:val="4CEC04A5"/>
    <w:rsid w:val="4DA4527F"/>
    <w:rsid w:val="510B6435"/>
    <w:rsid w:val="524B1831"/>
    <w:rsid w:val="52563950"/>
    <w:rsid w:val="52CB70F1"/>
    <w:rsid w:val="52D31DD0"/>
    <w:rsid w:val="52D5395F"/>
    <w:rsid w:val="55155AD9"/>
    <w:rsid w:val="55317F96"/>
    <w:rsid w:val="55D57BBE"/>
    <w:rsid w:val="585A76D1"/>
    <w:rsid w:val="5BCE4CEB"/>
    <w:rsid w:val="5C0D3EFA"/>
    <w:rsid w:val="5F457411"/>
    <w:rsid w:val="61936BA9"/>
    <w:rsid w:val="620A2774"/>
    <w:rsid w:val="62AD3604"/>
    <w:rsid w:val="62B255D4"/>
    <w:rsid w:val="62B6696C"/>
    <w:rsid w:val="62C806CE"/>
    <w:rsid w:val="63394E93"/>
    <w:rsid w:val="63E25663"/>
    <w:rsid w:val="643147BA"/>
    <w:rsid w:val="647C25CA"/>
    <w:rsid w:val="64D31BB7"/>
    <w:rsid w:val="65660483"/>
    <w:rsid w:val="66E853B2"/>
    <w:rsid w:val="67B87435"/>
    <w:rsid w:val="693B0F89"/>
    <w:rsid w:val="6A93216E"/>
    <w:rsid w:val="6B6326BE"/>
    <w:rsid w:val="6CFC11ED"/>
    <w:rsid w:val="6FF64B12"/>
    <w:rsid w:val="71655361"/>
    <w:rsid w:val="72684328"/>
    <w:rsid w:val="7269071D"/>
    <w:rsid w:val="74EE7C58"/>
    <w:rsid w:val="75540DDA"/>
    <w:rsid w:val="767172A7"/>
    <w:rsid w:val="78186CCD"/>
    <w:rsid w:val="7B5A424F"/>
    <w:rsid w:val="7BD165CD"/>
    <w:rsid w:val="7C0F5949"/>
    <w:rsid w:val="7C9D7B76"/>
    <w:rsid w:val="7CD23136"/>
    <w:rsid w:val="7D3A125D"/>
    <w:rsid w:val="7D447E05"/>
    <w:rsid w:val="7DBD5D29"/>
    <w:rsid w:val="7F230D57"/>
    <w:rsid w:val="7F845E16"/>
    <w:rsid w:val="7FA04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qFormat/>
    <w:uiPriority w:val="0"/>
  </w:style>
  <w:style w:type="table" w:default="1" w:styleId="1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qFormat/>
    <w:uiPriority w:val="0"/>
  </w:style>
  <w:style w:type="paragraph" w:styleId="12">
    <w:name w:val="toc 2"/>
    <w:basedOn w:val="1"/>
    <w:next w:val="1"/>
    <w:qFormat/>
    <w:uiPriority w:val="0"/>
    <w:pPr>
      <w:ind w:left="420" w:leftChars="200"/>
    </w:pPr>
  </w:style>
  <w:style w:type="character" w:styleId="15">
    <w:name w:val="Strong"/>
    <w:basedOn w:val="1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2019-12-21T16:24:00Z</dcterms:created>
  <dc:creator>ATI老哇的爪子007</dc:creator>
  <cp:lastModifiedBy>ATI老哇的爪子007</cp:lastModifiedBy>
  <dcterms:modified xsi:type="dcterms:W3CDTF">2020-01-02T15:43:41Z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