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5" w:name="_GoBack"/>
      <w:r>
        <w:rPr>
          <w:rFonts w:hint="eastAsia"/>
          <w:lang w:val="en-US" w:eastAsia="zh-CN"/>
        </w:rPr>
        <w:t>Atitit 软件开发基本法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</w:rPr>
            <w:t>第一章　总纲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包含各大原则 定律 法则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_Toc13107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爱提拉的原则</w:t>
          </w:r>
          <w:r>
            <w:tab/>
          </w:r>
          <w:r>
            <w:fldChar w:fldCharType="begin"/>
          </w:r>
          <w:r>
            <w:instrText xml:space="preserve"> PAGEREF _Toc20708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简单原则 </w:t>
          </w:r>
          <w:r>
            <w:rPr>
              <w:rFonts w:hint="eastAsia"/>
              <w:lang w:eastAsia="zh-CN"/>
            </w:rPr>
            <w:t>KISS</w:t>
          </w:r>
          <w:r>
            <w:tab/>
          </w:r>
          <w:r>
            <w:fldChar w:fldCharType="begin"/>
          </w:r>
          <w:r>
            <w:instrText xml:space="preserve"> PAGEREF _Toc27059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  <w:lang w:val="en-US" w:eastAsia="zh-CN"/>
            </w:rPr>
            <w:t>提升可读性  面向人类编程  而不是面向机器</w:t>
          </w:r>
          <w:r>
            <w:tab/>
          </w:r>
          <w:r>
            <w:fldChar w:fldCharType="begin"/>
          </w:r>
          <w:r>
            <w:instrText xml:space="preserve"> PAGEREF _Toc147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面向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人类编程，优先于面向机器，可读性优先于性能原则</w:t>
          </w:r>
          <w:r>
            <w:tab/>
          </w:r>
          <w:r>
            <w:fldChar w:fldCharType="begin"/>
          </w:r>
          <w:r>
            <w:instrText xml:space="preserve"> PAGEREF _Toc13115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第二章　</w:t>
          </w:r>
          <w:r>
            <w:rPr>
              <w:rFonts w:hint="eastAsia"/>
              <w:lang w:val="en-US" w:eastAsia="zh-CN"/>
            </w:rPr>
            <w:t>成员</w:t>
          </w:r>
          <w:r>
            <w:rPr>
              <w:rFonts w:hint="eastAsia"/>
            </w:rPr>
            <w:t>的基本权利和义务</w:t>
          </w:r>
          <w:r>
            <w:tab/>
          </w:r>
          <w:r>
            <w:fldChar w:fldCharType="begin"/>
          </w:r>
          <w:r>
            <w:instrText xml:space="preserve"> PAGEREF _Toc9176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 xml:space="preserve">第三章 </w:t>
          </w:r>
          <w:r>
            <w:rPr>
              <w:rFonts w:hint="eastAsia"/>
              <w:lang w:val="en-US" w:eastAsia="zh-CN"/>
            </w:rPr>
            <w:t>组织</w:t>
          </w:r>
          <w:r>
            <w:rPr>
              <w:rFonts w:hint="eastAsia"/>
            </w:rPr>
            <w:t>机构</w:t>
          </w:r>
          <w:r>
            <w:tab/>
          </w:r>
          <w:r>
            <w:fldChar w:fldCharType="begin"/>
          </w:r>
          <w:r>
            <w:instrText xml:space="preserve"> PAGEREF _Toc11507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  <w:tab w:val="right" w:pos="10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1.1. 按照人数划分  最古老的部门划分方法,曾经是组织种族、部落和军队的重要方法 .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_Toc25282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4.2. 1.4. 按照工艺流程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_Toc26659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职能划分 开发部  测试  产品  运维部门</w:t>
          </w:r>
          <w:r>
            <w:tab/>
          </w:r>
          <w:r>
            <w:fldChar w:fldCharType="begin"/>
          </w:r>
          <w:r>
            <w:instrText xml:space="preserve"> PAGEREF _Toc21766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按照语言划分的组织</w:t>
          </w:r>
          <w:r>
            <w:tab/>
          </w:r>
          <w:r>
            <w:fldChar w:fldCharType="begin"/>
          </w:r>
          <w:r>
            <w:instrText xml:space="preserve"> PAGEREF _Toc759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按照业务 事业部划分</w:t>
          </w:r>
          <w:r>
            <w:tab/>
          </w:r>
          <w:r>
            <w:fldChar w:fldCharType="begin"/>
          </w:r>
          <w:r>
            <w:instrText xml:space="preserve"> PAGEREF _Toc6212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5. </w:t>
          </w:r>
          <w:r>
            <w:rPr>
              <w:rFonts w:hint="eastAsia"/>
            </w:rPr>
            <w:t xml:space="preserve">第四章 </w:t>
          </w:r>
          <w:r>
            <w:rPr>
              <w:rFonts w:hint="eastAsia"/>
              <w:lang w:val="en-US" w:eastAsia="zh-CN"/>
            </w:rPr>
            <w:t>会</w:t>
          </w:r>
          <w:r>
            <w:rPr>
              <w:rFonts w:hint="eastAsia"/>
            </w:rPr>
            <w:t>旗、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歌、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徽</w:t>
          </w:r>
          <w:r>
            <w:tab/>
          </w:r>
          <w:r>
            <w:fldChar w:fldCharType="begin"/>
          </w:r>
          <w:r>
            <w:instrText xml:space="preserve"> PAGEREF _Toc17453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_Toc24951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6.1. Atitit 组织机构划分法</w:t>
          </w:r>
          <w:r>
            <w:tab/>
          </w:r>
          <w:r>
            <w:fldChar w:fldCharType="begin"/>
          </w:r>
          <w:r>
            <w:instrText xml:space="preserve"> PAGEREF _Toc14649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bookmarkStart w:id="0" w:name="_Toc13107"/>
      <w:r>
        <w:rPr>
          <w:rFonts w:hint="eastAsia"/>
        </w:rPr>
        <w:t>第一章　总纲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包含各大原则 定律 法则</w:t>
      </w:r>
      <w:r>
        <w:rPr>
          <w:rFonts w:hint="eastAsia"/>
          <w:lang w:eastAsia="zh-CN"/>
        </w:rPr>
        <w:t>）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Atitit.软件开发的几大规则，法则，与原则。。。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 设计模式六大原则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1.1. 设计模式六大原则（1）：单一职责原则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1.2. 设计模式六大原则（2）：里氏替换原则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1.3. 设计模式六大原则（3）：依赖倒置原则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1.4. 设计模式六大原则（4）：接口隔离原则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1.5. 设计模式六大原则（5）：迪米特法则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1.6. 设计模式六大原则（6）：开闭原则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 面向对象的S.O.L.I.D原则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2.1. Single Responsibility Principle (SRP)–职责单一原则 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2.2. Open/Closed Principle (OCP)–开闭原则 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2.3. Liskov substitution principle (LSP)–里氏代换原则 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2.4. Interface Segregation Principle (ISP)–接口隔离原则 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2.5. Dependency Inversion Principle(DIP)–依赖倒置原则 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 Other原则 3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3.1. Don’t Repeat Yourself(DRY)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3.2. Keep It Simple, Stupid (KISS)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3.3. Program to an interface, not an implementation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3.4. Command-Query Separation (CQS)–命令-查询分离原则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3.5. You Ain’t Gonna Need It(YAGNI)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3.6. Common Closure Principle（CCP）–共同封闭原则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3.7. Common Reuse Principle (CRP)–共同重用原则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3.8. Hollywood Principle–好莱坞原则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3.9. High Cohesion &amp; Low/Loose coupling &amp; –高内聚，低耦合 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3.10. Convention over Configuration（CoC）–惯例优于配置原则 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3.11. Separation of Concerns (SoC)–关注点分离 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3.12. Design by Contract (DbC)–契约式设计 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3.13. Acyclic Dependencies Principle (ADP)–无环依赖原则 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 参考 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0708"/>
      <w:r>
        <w:rPr>
          <w:rFonts w:hint="eastAsia"/>
          <w:lang w:val="en-US" w:eastAsia="zh-CN"/>
        </w:rPr>
        <w:t>爱提拉的原则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059"/>
      <w:r>
        <w:rPr>
          <w:rFonts w:hint="eastAsia"/>
          <w:lang w:val="en-US" w:eastAsia="zh-CN"/>
        </w:rPr>
        <w:t xml:space="preserve">简单原则 </w:t>
      </w:r>
      <w:r>
        <w:rPr>
          <w:rFonts w:hint="eastAsia"/>
          <w:lang w:eastAsia="zh-CN"/>
        </w:rPr>
        <w:t>KISS</w:t>
      </w:r>
      <w:bookmarkEnd w:id="2"/>
    </w:p>
    <w:p>
      <w:pPr>
        <w:pStyle w:val="3"/>
        <w:bidi w:val="0"/>
        <w:rPr>
          <w:rFonts w:hint="eastAsia"/>
        </w:rPr>
      </w:pPr>
      <w:bookmarkStart w:id="3" w:name="_Toc147"/>
      <w:r>
        <w:rPr>
          <w:rFonts w:hint="eastAsia"/>
          <w:lang w:val="en-US" w:eastAsia="zh-CN"/>
        </w:rPr>
        <w:t>提升可读性  面向人类编程  而不是面向机器</w:t>
      </w:r>
      <w:bookmarkEnd w:id="3"/>
    </w:p>
    <w:p>
      <w:pPr>
        <w:pStyle w:val="3"/>
        <w:bidi w:val="0"/>
        <w:rPr>
          <w:rFonts w:hint="eastAsia"/>
        </w:rPr>
      </w:pPr>
      <w:bookmarkStart w:id="4" w:name="_Toc13115"/>
      <w:r>
        <w:rPr>
          <w:rStyle w:val="15"/>
          <w:rFonts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面向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人类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编程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，优先于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面向机器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，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可读性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优先于性能原则</w:t>
      </w:r>
      <w:bookmarkEnd w:id="4"/>
    </w:p>
    <w:p>
      <w:pPr>
        <w:pStyle w:val="2"/>
        <w:bidi w:val="0"/>
        <w:rPr>
          <w:rFonts w:hint="eastAsia"/>
        </w:rPr>
      </w:pPr>
      <w:bookmarkStart w:id="5" w:name="_Toc9176"/>
      <w:r>
        <w:rPr>
          <w:rFonts w:hint="eastAsia"/>
        </w:rPr>
        <w:t>第二章　</w:t>
      </w:r>
      <w:r>
        <w:rPr>
          <w:rFonts w:hint="eastAsia"/>
          <w:lang w:val="en-US" w:eastAsia="zh-CN"/>
        </w:rPr>
        <w:t>成员</w:t>
      </w:r>
      <w:r>
        <w:rPr>
          <w:rFonts w:hint="eastAsia"/>
        </w:rPr>
        <w:t>的基本权利和义务</w:t>
      </w:r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Cto   架构师 前后端  美工</w:t>
      </w:r>
    </w:p>
    <w:p>
      <w:pPr>
        <w:pStyle w:val="2"/>
        <w:bidi w:val="0"/>
        <w:rPr>
          <w:rFonts w:hint="eastAsia"/>
        </w:rPr>
      </w:pPr>
      <w:bookmarkStart w:id="6" w:name="_Toc11507"/>
      <w:r>
        <w:rPr>
          <w:rFonts w:hint="eastAsia"/>
        </w:rPr>
        <w:t xml:space="preserve">第三章 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机构</w:t>
      </w:r>
      <w:bookmarkEnd w:id="6"/>
    </w:p>
    <w:tbl>
      <w:tblPr>
        <w:tblStyle w:val="13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948"/>
        <w:gridCol w:w="133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最高行政机关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3"/>
                <w:szCs w:val="13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事务院及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  <w:t>计划委员会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3"/>
                <w:szCs w:val="13"/>
                <w:lang w:val="en-US" w:eastAsia="zh-CN" w:bidi="ar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7" w:name="_Toc25282"/>
      <w:r>
        <w:rPr>
          <w:rFonts w:hint="default"/>
          <w:lang w:val="en-US" w:eastAsia="zh-CN"/>
        </w:rPr>
        <w:t>1.1. 按照人数划分  最古老的部门划分方法,曾经是组织种族、部落和军队的重要方法 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6659"/>
      <w:r>
        <w:rPr>
          <w:rFonts w:hint="default"/>
          <w:lang w:val="en-US" w:eastAsia="zh-CN"/>
        </w:rPr>
        <w:t>1.4. 按照工艺流程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766"/>
      <w:r>
        <w:rPr>
          <w:rFonts w:hint="eastAsia"/>
          <w:lang w:val="en-US" w:eastAsia="zh-CN"/>
        </w:rPr>
        <w:t>职能划分 开发部  测试  产品  运维部门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59"/>
      <w:r>
        <w:rPr>
          <w:rFonts w:hint="eastAsia"/>
          <w:lang w:val="en-US" w:eastAsia="zh-CN"/>
        </w:rPr>
        <w:t>按照语言划分的组织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6212"/>
      <w:r>
        <w:rPr>
          <w:rFonts w:hint="eastAsia"/>
          <w:lang w:val="en-US" w:eastAsia="zh-CN"/>
        </w:rPr>
        <w:t>按照业务 事业部划分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Cs w:val="18"/>
        </w:rPr>
      </w:pPr>
      <w:bookmarkStart w:id="12" w:name="_Toc17453"/>
      <w:r>
        <w:rPr>
          <w:rFonts w:hint="eastAsia"/>
        </w:rPr>
        <w:t xml:space="preserve">第四章 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旗、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8"/>
          <w:shd w:val="clear" w:fill="FFFFFF"/>
        </w:rPr>
        <w:t>歌、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8"/>
          <w:shd w:val="clear" w:fill="FFFFFF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8"/>
          <w:shd w:val="clear" w:fill="FFFFFF"/>
        </w:rPr>
        <w:t>徽</w:t>
      </w:r>
      <w:bookmarkEnd w:id="12"/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4951"/>
      <w:r>
        <w:rPr>
          <w:rFonts w:hint="eastAsia"/>
          <w:lang w:val="en-US" w:eastAsia="zh-CN"/>
        </w:rPr>
        <w:t>Ref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4649"/>
      <w:r>
        <w:rPr>
          <w:rFonts w:hint="default"/>
          <w:lang w:val="en-US" w:eastAsia="zh-CN"/>
        </w:rPr>
        <w:t>Atitit 组织机构划分法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按照人数划分  最古老的部门划分方法,曾经是组织种族、部落和军队的重要方法 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按照业务产品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按地区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按照工艺流程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按照服务对象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按照时间  小学 中学 大学等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常见组织架构划分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纵向高中低三层层次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横行部门制度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组织体制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组织结构形式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bookmarkEnd w:id="1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46FD88"/>
    <w:multiLevelType w:val="multilevel"/>
    <w:tmpl w:val="E146FD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91F97"/>
    <w:rsid w:val="01AA1E07"/>
    <w:rsid w:val="06CC6AF7"/>
    <w:rsid w:val="07AA791C"/>
    <w:rsid w:val="0AE721A9"/>
    <w:rsid w:val="0D3E501E"/>
    <w:rsid w:val="0DB136D8"/>
    <w:rsid w:val="1203699C"/>
    <w:rsid w:val="1C8806D8"/>
    <w:rsid w:val="26897271"/>
    <w:rsid w:val="27F0305E"/>
    <w:rsid w:val="28AF5AF8"/>
    <w:rsid w:val="29284A97"/>
    <w:rsid w:val="314470D2"/>
    <w:rsid w:val="31715784"/>
    <w:rsid w:val="32081DA2"/>
    <w:rsid w:val="34942DD3"/>
    <w:rsid w:val="37295DA3"/>
    <w:rsid w:val="386923D6"/>
    <w:rsid w:val="3A5C06BC"/>
    <w:rsid w:val="3AA53ADD"/>
    <w:rsid w:val="3F380389"/>
    <w:rsid w:val="42D95A05"/>
    <w:rsid w:val="46691F97"/>
    <w:rsid w:val="52F37AC4"/>
    <w:rsid w:val="54F86F24"/>
    <w:rsid w:val="57C85C67"/>
    <w:rsid w:val="618E0765"/>
    <w:rsid w:val="677F7034"/>
    <w:rsid w:val="6AD35DBA"/>
    <w:rsid w:val="6D2002B6"/>
    <w:rsid w:val="6EC95D14"/>
    <w:rsid w:val="7A006D39"/>
    <w:rsid w:val="7ADF4AC7"/>
    <w:rsid w:val="7ECB5387"/>
    <w:rsid w:val="7EFA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2019-12-16T10:34:00Z</dcterms:created>
  <dc:creator>ATI老哇的爪子007</dc:creator>
  <cp:lastModifiedBy>ATI老哇的爪子007</cp:lastModifiedBy>
  <dcterms:modified xsi:type="dcterms:W3CDTF">2019-12-17T04:10:27Z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