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pogo行业发展史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80" w:beforeAutospacing="0" w:after="240" w:afterAutospacing="0" w:line="15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4C4C4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C4C4C"/>
          <w:spacing w:val="0"/>
          <w:sz w:val="16"/>
          <w:szCs w:val="16"/>
          <w:shd w:val="clear" w:fill="FFFFFF"/>
        </w:rPr>
        <w:t>POGO主要通过雇用中国员工为在线赌博网站提供市场营销，客户服务和IT支持。菲律宾政府估计，该国大约有13万名外来劳工，但数量很可能是后者的两倍。POGO主要位于马尼拉和马卡蒂。可以将它们聚集在大型共管公寓，住宅小区或改建的建筑物中，并使用专用的员工车四处行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80" w:beforeAutospacing="0" w:after="240" w:afterAutospacing="0" w:line="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C4C4C"/>
          <w:spacing w:val="0"/>
          <w:sz w:val="16"/>
          <w:szCs w:val="16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4C4C4C"/>
          <w:spacing w:val="0"/>
          <w:sz w:val="17"/>
          <w:szCs w:val="17"/>
          <w:shd w:val="clear" w:fill="FFFFFF"/>
        </w:rPr>
        <w:t>在政策雷达之下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80" w:beforeAutospacing="0" w:after="240" w:afterAutospacing="0" w:line="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C4C4C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C4C4C"/>
          <w:spacing w:val="0"/>
          <w:sz w:val="16"/>
          <w:szCs w:val="16"/>
          <w:shd w:val="clear" w:fill="FFFFFF"/>
        </w:rPr>
        <w:t>POGO于2016年左右开始起飞，但过去三年中的大部分时间都在政策雷达下飞翔。这适合行业。菲律宾娱乐和游戏公司（Pagcor）赚了钱，房地产开发商和业主从需求增加中受益。这也意味着更少的法规以及更少的公众和媒体关注。</w:t>
      </w:r>
    </w:p>
    <w:p>
      <w:pPr>
        <w:rPr>
          <w:rFonts w:ascii="Helvetica" w:hAnsi="Helvetica" w:eastAsia="Helvetica" w:cs="Helvetica"/>
          <w:i w:val="0"/>
          <w:caps w:val="0"/>
          <w:color w:val="4C4C4C"/>
          <w:spacing w:val="0"/>
          <w:sz w:val="16"/>
          <w:szCs w:val="16"/>
          <w:shd w:val="clear" w:fill="C9D7F1"/>
        </w:rPr>
      </w:pPr>
      <w:r>
        <w:rPr>
          <w:rFonts w:ascii="Helvetica" w:hAnsi="Helvetica" w:eastAsia="Helvetica" w:cs="Helvetica"/>
          <w:i w:val="0"/>
          <w:caps w:val="0"/>
          <w:color w:val="4C4C4C"/>
          <w:spacing w:val="0"/>
          <w:sz w:val="16"/>
          <w:szCs w:val="16"/>
          <w:shd w:val="clear" w:fill="C9D7F1"/>
        </w:rPr>
        <w:t>菲律宾离岸游戏运营商（POGO）受菲律宾娱乐游戏公司（Pagcor）的监管，但杰克表示，他的公司不在获得认可的游戏公司名单上。</w:t>
      </w:r>
    </w:p>
    <w:p>
      <w:pPr>
        <w:rPr>
          <w:rFonts w:ascii="Helvetica" w:hAnsi="Helvetica" w:eastAsia="Helvetica" w:cs="Helvetica"/>
          <w:i w:val="0"/>
          <w:caps w:val="0"/>
          <w:color w:val="4C4C4C"/>
          <w:spacing w:val="0"/>
          <w:sz w:val="16"/>
          <w:szCs w:val="16"/>
          <w:shd w:val="clear" w:fill="C9D7F1"/>
        </w:rPr>
      </w:pPr>
    </w:p>
    <w:p>
      <w:pP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Philippine Online Gambling Operations (POGOs).</w:t>
      </w:r>
    </w:p>
    <w:p>
      <w:pP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Philippine Amusement and Gaming Corporation (Pagcor)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A48F5"/>
    <w:rsid w:val="1757565A"/>
    <w:rsid w:val="36476423"/>
    <w:rsid w:val="6B0A48F5"/>
    <w:rsid w:val="7B4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2019-12-22T19:14:00Z</dcterms:created>
  <dc:creator>ATI老哇的爪子007</dc:creator>
  <cp:lastModifiedBy>ATI老哇的爪子007</cp:lastModifiedBy>
  <dcterms:modified xsi:type="dcterms:W3CDTF">2019-12-22T19:30:13Z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