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人才的abc分类标准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63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bookmarkStart w:id="29" w:name="_GoBack"/>
          <w:bookmarkEnd w:id="2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理论性工作者》》实践性工作者</w:t>
          </w:r>
          <w:r>
            <w:tab/>
          </w:r>
          <w:r>
            <w:fldChar w:fldCharType="begin"/>
          </w:r>
          <w:r>
            <w:instrText xml:space="preserve"> PAGEREF _Toc4493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书籍出版  技术类书籍作者</w:t>
          </w:r>
          <w:r>
            <w:tab/>
          </w:r>
          <w:r>
            <w:fldChar w:fldCharType="begin"/>
          </w:r>
          <w:r>
            <w:instrText xml:space="preserve"> PAGEREF _Toc11595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规范制定</w:t>
          </w:r>
          <w:r>
            <w:tab/>
          </w:r>
          <w:r>
            <w:fldChar w:fldCharType="begin"/>
          </w:r>
          <w:r>
            <w:instrText xml:space="preserve"> PAGEREF _Toc14591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培训人员教材</w:t>
          </w:r>
          <w:r>
            <w:tab/>
          </w:r>
          <w:r>
            <w:fldChar w:fldCharType="begin"/>
          </w:r>
          <w:r>
            <w:instrText xml:space="preserve"> PAGEREF _Toc1165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 xml:space="preserve">大奖获得者 </w:t>
          </w:r>
          <w:r>
            <w:t>荣誉</w:t>
          </w:r>
          <w:r>
            <w:tab/>
          </w:r>
          <w:r>
            <w:fldChar w:fldCharType="begin"/>
          </w:r>
          <w:r>
            <w:instrText xml:space="preserve"> PAGEREF _Toc29584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  <w:lang w:val="en-US" w:eastAsia="zh-CN"/>
            </w:rPr>
            <w:t>Csdn</w:t>
          </w:r>
          <w:r>
            <w:tab/>
          </w:r>
          <w:r>
            <w:fldChar w:fldCharType="begin"/>
          </w:r>
          <w:r>
            <w:instrText xml:space="preserve"> PAGEREF _Toc6257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重要角色3</w:t>
          </w:r>
          <w:r>
            <w:tab/>
          </w:r>
          <w:r>
            <w:fldChar w:fldCharType="begin"/>
          </w:r>
          <w:r>
            <w:instrText xml:space="preserve"> PAGEREF _Toc24385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lang w:val="en-US" w:eastAsia="zh-CN"/>
            </w:rPr>
            <w:t>着名国际组织担任高级管理或者高级技术 / 专业人员</w:t>
          </w:r>
          <w:r>
            <w:rPr>
              <w:rFonts w:hint="eastAsia"/>
              <w:lang w:val="en-US" w:eastAsia="zh-CN"/>
            </w:rPr>
            <w:t xml:space="preserve"> </w:t>
          </w:r>
          <w:r>
            <w:t>首席类负责人</w:t>
          </w:r>
          <w:r>
            <w:tab/>
          </w:r>
          <w:r>
            <w:fldChar w:fldCharType="begin"/>
          </w:r>
          <w:r>
            <w:instrText xml:space="preserve"> PAGEREF _Toc2276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tab/>
          </w:r>
          <w:r>
            <w:fldChar w:fldCharType="begin"/>
          </w:r>
          <w:r>
            <w:instrText xml:space="preserve"> PAGEREF _Toc30328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3.3. </w:t>
          </w:r>
          <w:r>
            <w:t>担任过国际着名学术组织（见说明 4）主席或副主席。</w:t>
          </w:r>
          <w:r>
            <w:tab/>
          </w:r>
          <w:r>
            <w:fldChar w:fldCharType="begin"/>
          </w:r>
          <w:r>
            <w:instrText xml:space="preserve"> PAGEREF _Toc56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3.4. </w:t>
          </w:r>
          <w:r>
            <w:rPr>
              <w:rFonts w:hint="eastAsia"/>
            </w:rPr>
            <w:t>9. 担任过国际着名学术组织（见说明 4）主席或副主席。</w:t>
          </w:r>
          <w:r>
            <w:tab/>
          </w:r>
          <w:r>
            <w:fldChar w:fldCharType="begin"/>
          </w:r>
          <w:r>
            <w:instrText xml:space="preserve"> PAGEREF _Toc30128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3.5. </w:t>
          </w:r>
          <w:r>
            <w:tab/>
          </w:r>
          <w:r>
            <w:fldChar w:fldCharType="begin"/>
          </w:r>
          <w:r>
            <w:instrText xml:space="preserve"> PAGEREF _Toc32397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3.6. </w:t>
          </w:r>
          <w:r>
            <w:rPr>
              <w:rFonts w:hint="eastAsia"/>
            </w:rPr>
            <w:t>10. 担任过国际标准化组织（ISO）标样委员会委员。</w:t>
          </w:r>
          <w:r>
            <w:tab/>
          </w:r>
          <w:r>
            <w:fldChar w:fldCharType="begin"/>
          </w:r>
          <w:r>
            <w:instrText xml:space="preserve"> PAGEREF _Toc987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3.7. </w:t>
          </w:r>
          <w:r>
            <w:tab/>
          </w:r>
          <w:r>
            <w:fldChar w:fldCharType="begin"/>
          </w:r>
          <w:r>
            <w:instrText xml:space="preserve"> PAGEREF _Toc16685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3.8. </w:t>
          </w:r>
          <w:r>
            <w:rPr>
              <w:rFonts w:hint="eastAsia"/>
            </w:rPr>
            <w:t>11. 担任过境外世界知名大学（见说明 5）校长、副校长。</w:t>
          </w:r>
          <w:r>
            <w:tab/>
          </w:r>
          <w:r>
            <w:fldChar w:fldCharType="begin"/>
          </w:r>
          <w:r>
            <w:instrText xml:space="preserve"> PAGEREF _Toc23218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3.9. </w:t>
          </w:r>
          <w:r>
            <w:t>主设计师（Team leader</w:t>
          </w:r>
          <w:r>
            <w:tab/>
          </w:r>
          <w:r>
            <w:fldChar w:fldCharType="begin"/>
          </w:r>
          <w:r>
            <w:instrText xml:space="preserve"> PAGEREF _Toc11814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3.10. </w:t>
          </w:r>
          <w:r>
            <w:t>主教练员。</w:t>
          </w:r>
          <w:r>
            <w:tab/>
          </w:r>
          <w:r>
            <w:fldChar w:fldCharType="begin"/>
          </w:r>
          <w:r>
            <w:instrText xml:space="preserve"> PAGEREF _Toc22135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国际公认的专业成就认定标准（请根据自身条件，点击下列关键词查看详细说明）：</w:t>
          </w:r>
          <w:r>
            <w:tab/>
          </w:r>
          <w:r>
            <w:fldChar w:fldCharType="begin"/>
          </w:r>
          <w:r>
            <w:instrText xml:space="preserve"> PAGEREF _Toc11627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t>拥有的重大技术发明、专利等自主知识产权或专有技术出资</w:t>
          </w:r>
          <w:r>
            <w:tab/>
          </w:r>
          <w:r>
            <w:fldChar w:fldCharType="begin"/>
          </w:r>
          <w:r>
            <w:instrText xml:space="preserve"> PAGEREF _Toc20742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t>超高学历人才，如果达到以下学历者</w:t>
          </w:r>
          <w:r>
            <w:tab/>
          </w:r>
          <w:r>
            <w:fldChar w:fldCharType="begin"/>
          </w:r>
          <w:r>
            <w:instrText xml:space="preserve"> PAGEREF _Toc25664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t>积分要素计分赋值表</w:t>
          </w:r>
          <w:r>
            <w:tab/>
          </w:r>
          <w:r>
            <w:fldChar w:fldCharType="begin"/>
          </w:r>
          <w:r>
            <w:instrText xml:space="preserve"> PAGEREF _Toc2593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教育程度</w:t>
          </w:r>
          <w:r>
            <w:tab/>
          </w:r>
          <w:r>
            <w:fldChar w:fldCharType="begin"/>
          </w:r>
          <w:r>
            <w:instrText xml:space="preserve"> PAGEREF _Toc11454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职业资质证明</w:t>
          </w:r>
          <w:r>
            <w:tab/>
          </w:r>
          <w:r>
            <w:fldChar w:fldCharType="begin"/>
          </w:r>
          <w:r>
            <w:instrText xml:space="preserve"> PAGEREF _Toc12120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相关工作年限</w:t>
          </w:r>
          <w:r>
            <w:tab/>
          </w:r>
          <w:r>
            <w:fldChar w:fldCharType="begin"/>
          </w:r>
          <w:r>
            <w:instrText xml:space="preserve"> PAGEREF _Toc12971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语言水平</w:t>
          </w:r>
          <w:r>
            <w:tab/>
          </w:r>
          <w:r>
            <w:fldChar w:fldCharType="begin"/>
          </w:r>
          <w:r>
            <w:instrText xml:space="preserve"> PAGEREF _Toc26623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海外经历</w:t>
          </w:r>
          <w:r>
            <w:tab/>
          </w:r>
          <w:r>
            <w:fldChar w:fldCharType="begin"/>
          </w:r>
          <w:r>
            <w:instrText xml:space="preserve"> PAGEREF _Toc10248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知名</w:t>
          </w:r>
          <w:r>
            <w:rPr>
              <w:lang w:val="en-US" w:eastAsia="zh-CN"/>
            </w:rPr>
            <w:t>国际组织</w:t>
          </w:r>
          <w:r>
            <w:tab/>
          </w:r>
          <w:r>
            <w:fldChar w:fldCharType="begin"/>
          </w:r>
          <w:r>
            <w:instrText xml:space="preserve"> PAGEREF _Toc11794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6.1. </w:t>
          </w:r>
          <w:r>
            <w:t>4. 国际着名学术组织:</w:t>
          </w:r>
          <w:r>
            <w:tab/>
          </w:r>
          <w:r>
            <w:fldChar w:fldCharType="begin"/>
          </w:r>
          <w:r>
            <w:instrText xml:space="preserve"> PAGEREF _Toc22261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t>17. 联合国总部或下设经济和金融类分支机构：</w:t>
          </w:r>
          <w:r>
            <w:rPr>
              <w:rFonts w:hint="eastAsia"/>
              <w:lang w:val="en-US" w:eastAsia="zh-CN"/>
            </w:rPr>
            <w:t>ngo组组织</w:t>
          </w:r>
          <w:r>
            <w:tab/>
          </w:r>
          <w:r>
            <w:fldChar w:fldCharType="begin"/>
          </w:r>
          <w:r>
            <w:instrText xml:space="preserve"> PAGEREF _Toc17143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4493"/>
      <w:r>
        <w:rPr>
          <w:rFonts w:hint="eastAsia"/>
          <w:lang w:val="en-US" w:eastAsia="zh-CN"/>
        </w:rPr>
        <w:t>理论性工作者》》实践性工作者</w:t>
      </w:r>
      <w:bookmarkEnd w:id="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11595"/>
      <w:r>
        <w:rPr>
          <w:rFonts w:hint="eastAsia"/>
          <w:lang w:val="en-US" w:eastAsia="zh-CN"/>
        </w:rPr>
        <w:t>书籍出版  技术类书籍作者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4591"/>
      <w:r>
        <w:rPr>
          <w:rFonts w:hint="eastAsia"/>
          <w:lang w:val="en-US" w:eastAsia="zh-CN"/>
        </w:rPr>
        <w:t>规范制定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165"/>
      <w:r>
        <w:rPr>
          <w:rFonts w:hint="eastAsia"/>
          <w:lang w:val="en-US" w:eastAsia="zh-CN"/>
        </w:rPr>
        <w:t>培训人员教材</w:t>
      </w:r>
      <w:bookmarkEnd w:id="3"/>
    </w:p>
    <w:p>
      <w:pPr>
        <w:pStyle w:val="2"/>
        <w:bidi w:val="0"/>
      </w:pPr>
      <w:bookmarkStart w:id="4" w:name="_Toc29584"/>
      <w:r>
        <w:rPr>
          <w:rFonts w:hint="eastAsia"/>
          <w:lang w:val="en-US" w:eastAsia="zh-CN"/>
        </w:rPr>
        <w:t xml:space="preserve">大奖获得者 </w:t>
      </w:r>
      <w:r>
        <w:t>荣誉</w:t>
      </w:r>
      <w:bookmarkEnd w:id="4"/>
    </w:p>
    <w:p>
      <w:pPr>
        <w:pStyle w:val="3"/>
        <w:bidi w:val="0"/>
        <w:ind w:left="575" w:leftChars="0" w:hanging="575" w:firstLineChars="0"/>
      </w:pPr>
      <w:bookmarkStart w:id="5" w:name="_Toc6257"/>
      <w:r>
        <w:rPr>
          <w:rFonts w:hint="eastAsia"/>
          <w:lang w:val="en-US" w:eastAsia="zh-CN"/>
        </w:rPr>
        <w:t>Csdn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4385"/>
      <w:r>
        <w:rPr>
          <w:rFonts w:hint="eastAsia"/>
          <w:lang w:val="en-US" w:eastAsia="zh-CN"/>
        </w:rPr>
        <w:t>重要角色3</w:t>
      </w:r>
      <w:bookmarkEnd w:id="6"/>
    </w:p>
    <w:p>
      <w:pPr>
        <w:pStyle w:val="3"/>
        <w:bidi w:val="0"/>
      </w:pPr>
      <w:bookmarkStart w:id="7" w:name="_Toc2276"/>
      <w:r>
        <w:rPr>
          <w:lang w:val="en-US" w:eastAsia="zh-CN"/>
        </w:rPr>
        <w:t>着名国际组织担任高级管理或者高级技术 / 专业人员</w:t>
      </w:r>
      <w:r>
        <w:rPr>
          <w:rFonts w:hint="eastAsia"/>
          <w:lang w:val="en-US" w:eastAsia="zh-CN"/>
        </w:rPr>
        <w:t xml:space="preserve"> </w:t>
      </w:r>
      <w:r>
        <w:t>首席类负责人</w:t>
      </w:r>
      <w:bookmarkEnd w:id="7"/>
    </w:p>
    <w:p>
      <w:pPr>
        <w:pStyle w:val="3"/>
        <w:bidi w:val="0"/>
      </w:pPr>
      <w:bookmarkStart w:id="8" w:name="_Toc30328"/>
      <w:bookmarkEnd w:id="8"/>
    </w:p>
    <w:p>
      <w:pPr>
        <w:pStyle w:val="3"/>
        <w:bidi w:val="0"/>
      </w:pPr>
      <w:bookmarkStart w:id="9" w:name="_Toc56"/>
      <w:r>
        <w:t>担任过国际着名学术组织（见说明 4）主席或副主席。</w:t>
      </w:r>
      <w:bookmarkEnd w:id="9"/>
    </w:p>
    <w:p>
      <w:pPr>
        <w:pStyle w:val="3"/>
        <w:bidi w:val="0"/>
        <w:rPr>
          <w:rFonts w:hint="eastAsia"/>
        </w:rPr>
      </w:pPr>
      <w:bookmarkStart w:id="10" w:name="_Toc30128"/>
      <w:r>
        <w:rPr>
          <w:rFonts w:hint="eastAsia"/>
        </w:rPr>
        <w:t>9. 担任过国际着名学术组织（见说明 4）主席或副主席。</w:t>
      </w:r>
      <w:bookmarkEnd w:id="10"/>
    </w:p>
    <w:p>
      <w:pPr>
        <w:pStyle w:val="3"/>
        <w:bidi w:val="0"/>
        <w:rPr>
          <w:rFonts w:hint="eastAsia"/>
        </w:rPr>
      </w:pPr>
      <w:bookmarkStart w:id="11" w:name="_Toc32397"/>
      <w:bookmarkEnd w:id="11"/>
    </w:p>
    <w:p>
      <w:pPr>
        <w:pStyle w:val="3"/>
        <w:bidi w:val="0"/>
        <w:rPr>
          <w:rFonts w:hint="eastAsia"/>
        </w:rPr>
      </w:pPr>
      <w:bookmarkStart w:id="12" w:name="_Toc987"/>
      <w:r>
        <w:rPr>
          <w:rFonts w:hint="eastAsia"/>
        </w:rPr>
        <w:t>10. 担任过国际标准化组织（ISO）标样委员会委员。</w:t>
      </w:r>
      <w:bookmarkEnd w:id="12"/>
    </w:p>
    <w:p>
      <w:pPr>
        <w:pStyle w:val="3"/>
        <w:bidi w:val="0"/>
        <w:rPr>
          <w:rFonts w:hint="eastAsia"/>
        </w:rPr>
      </w:pPr>
      <w:bookmarkStart w:id="13" w:name="_Toc16685"/>
      <w:bookmarkEnd w:id="13"/>
    </w:p>
    <w:p>
      <w:pPr>
        <w:pStyle w:val="3"/>
        <w:bidi w:val="0"/>
        <w:rPr>
          <w:rFonts w:hint="eastAsia"/>
        </w:rPr>
      </w:pPr>
      <w:bookmarkStart w:id="14" w:name="_Toc23218"/>
      <w:r>
        <w:rPr>
          <w:rFonts w:hint="eastAsia"/>
        </w:rPr>
        <w:t>11. 担任过境外世界知名大学（见说明 5）校长、副校长。</w:t>
      </w:r>
      <w:bookmarkEnd w:id="14"/>
    </w:p>
    <w:p>
      <w:pPr>
        <w:pStyle w:val="3"/>
        <w:bidi w:val="0"/>
      </w:pPr>
      <w:bookmarkStart w:id="15" w:name="_Toc11814"/>
      <w:r>
        <w:t>主设计师（Team leader</w:t>
      </w:r>
      <w:bookmarkEnd w:id="15"/>
    </w:p>
    <w:p>
      <w:pPr>
        <w:pStyle w:val="3"/>
        <w:bidi w:val="0"/>
      </w:pPr>
      <w:bookmarkStart w:id="16" w:name="_Toc22135"/>
      <w:r>
        <w:t>主教练员。</w:t>
      </w:r>
      <w:bookmarkEnd w:id="16"/>
    </w:p>
    <w:p>
      <w:pPr>
        <w:pStyle w:val="2"/>
        <w:bidi w:val="0"/>
      </w:pPr>
      <w:bookmarkStart w:id="17" w:name="_Toc11627"/>
      <w:r>
        <w:t>国际公认的专业成就认定标准（请根据自身条件，点击下列关键词查看详细说明）：</w:t>
      </w:r>
      <w:bookmarkEnd w:id="17"/>
    </w:p>
    <w:tbl>
      <w:tblPr>
        <w:tblStyle w:val="16"/>
        <w:tblW w:w="4950" w:type="pct"/>
        <w:tblCellSpacing w:w="7" w:type="dxa"/>
        <w:tblInd w:w="0" w:type="dxa"/>
        <w:shd w:val="clear" w:color="auto" w:fill="000000"/>
        <w:tblLayout w:type="autofit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2233"/>
        <w:gridCol w:w="2247"/>
        <w:gridCol w:w="3860"/>
      </w:tblGrid>
      <w:tr>
        <w:trPr>
          <w:tblCellSpacing w:w="7" w:type="dxa"/>
        </w:trPr>
        <w:tc>
          <w:tcPr>
            <w:tcW w:w="0" w:type="auto"/>
            <w:gridSpan w:val="3"/>
            <w:shd w:val="clear" w:color="auto" w:fill="D54A2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54A25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外国人个人获得奖项类</w:t>
            </w:r>
          </w:p>
        </w:tc>
      </w:tr>
      <w:tr>
        <w:tblPrEx>
          <w:shd w:val="clear" w:color="auto" w:fill="000000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instrText xml:space="preserve"> HYPERLINK "http://www.visainchina.com/work_permit_A_list_cn.htm" \l "1" \t "http://www.visainchina.com/_blank"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color w:val="000000"/>
                <w:sz w:val="24"/>
                <w:szCs w:val="24"/>
              </w:rPr>
              <w:t>1 - 科学类奖项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instrText xml:space="preserve"> HYPERLINK "http://www.visainchina.com/work_permit_A_list_cn.htm" \l "2" \t "http://www.visainchina.com/_blank"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color w:val="000000"/>
                <w:sz w:val="24"/>
                <w:szCs w:val="24"/>
              </w:rPr>
              <w:t>2 - 建筑类奖项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instrText xml:space="preserve"> HYPERLINK "http://www.visainchina.com/work_permit_A_list_cn.htm" \l "3" \t "http://www.visainchina.com/_blank"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color w:val="000000"/>
                <w:sz w:val="24"/>
                <w:szCs w:val="24"/>
              </w:rPr>
              <w:t>3 - 工业设计奖项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000000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instrText xml:space="preserve"> HYPERLINK "http://www.visainchina.com/work_permit_A_list_cn.htm" \l "4" \t "http://www.visainchina.com/_blank"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color w:val="000000"/>
                <w:sz w:val="24"/>
                <w:szCs w:val="24"/>
              </w:rPr>
              <w:t>4 - 国际着名文学奖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instrText xml:space="preserve"> HYPERLINK "http://www.visainchina.com/work_permit_A_list_cn.htm" \l "5" \t "http://www.visainchina.com/_blank"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color w:val="000000"/>
                <w:sz w:val="24"/>
                <w:szCs w:val="24"/>
              </w:rPr>
              <w:t>5 - 国际着名音乐奖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instrText xml:space="preserve"> HYPERLINK "http://www.visainchina.com/work_permit_A_list_cn.htm" \l "6" \t "http://www.visainchina.com/_blank"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color w:val="000000"/>
                <w:sz w:val="24"/>
                <w:szCs w:val="24"/>
              </w:rPr>
              <w:t>6 - 国际着名电影、电视、戏剧奖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000000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instrText xml:space="preserve"> HYPERLINK "http://www.visainchina.com/work_permit_A_list_cn.htm" \l "7" \t "http://www.visainchina.com/_blank"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color w:val="000000"/>
                <w:sz w:val="24"/>
                <w:szCs w:val="24"/>
              </w:rPr>
              <w:t>7 - 国际着名广告奖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instrText xml:space="preserve"> HYPERLINK "http://www.visainchina.com/work_permit_A_list_cn.htm" \l "8" \t "http://www.visainchina.com/_blank"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color w:val="000000"/>
                <w:sz w:val="24"/>
                <w:szCs w:val="24"/>
              </w:rPr>
              <w:t>8 - 国际着名艺术比赛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instrText xml:space="preserve"> HYPERLINK "http://www.visainchina.com/work_permit_A_list_cn.htm" \l "9" \t "http://www.visainchina.com/_blank"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color w:val="000000"/>
                <w:sz w:val="24"/>
                <w:szCs w:val="24"/>
              </w:rPr>
              <w:t>9 - 国际重要体育比赛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0" w:type="auto"/>
            <w:gridSpan w:val="3"/>
            <w:shd w:val="clear" w:color="auto" w:fill="D54A2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54A25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或者外国人曾经在着名国际组织担任高级管理或者高级技术 / 专业人员</w:t>
            </w:r>
          </w:p>
        </w:tc>
      </w:tr>
      <w:tr>
        <w:tblPrEx>
          <w:shd w:val="clear" w:color="auto" w:fill="000000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instrText xml:space="preserve"> HYPERLINK "http://www.visainchina.com/work_permit_A_list_cn.htm" \l "10" \t "http://www.visainchina.com/_blank"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color w:val="000000"/>
                <w:sz w:val="24"/>
                <w:szCs w:val="24"/>
              </w:rPr>
              <w:t>10 - 世界着名音乐学院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instrText xml:space="preserve"> HYPERLINK "http://www.visainchina.com/work_permit_A_list_cn.htm" \l "11" \t "http://www.visainchina.com/_blank"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color w:val="000000"/>
                <w:sz w:val="24"/>
                <w:szCs w:val="24"/>
              </w:rPr>
              <w:t>11 - 着名会计师事务所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instrText xml:space="preserve"> HYPERLINK "http://www.visainchina.com/work_permit_A_list_cn.htm" \l "12" \t "http://www.visainchina.com/_blank"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color w:val="000000"/>
                <w:sz w:val="24"/>
                <w:szCs w:val="24"/>
              </w:rPr>
              <w:t>12 - 国际知名学术机构和科教类国际组织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instrText xml:space="preserve"> HYPERLINK "http://www.visainchina.com/work_permit_A_list_cn.htm" \l "13" \t "http://www.visainchina.com/_blank"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color w:val="000000"/>
                <w:sz w:val="24"/>
                <w:szCs w:val="24"/>
              </w:rPr>
              <w:t>13 - 着名金融机构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instrText xml:space="preserve"> HYPERLINK "http://www.visainchina.com/work_permit_A_list_cn.htm" \l "14" \t "http://www.visainchina.com/_blank"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color w:val="000000"/>
                <w:sz w:val="24"/>
                <w:szCs w:val="24"/>
              </w:rPr>
              <w:t>14 - 世界 500 强企业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instrText xml:space="preserve"> HYPERLINK "http://www.visainchina.com/work_permit_A_list_cn.htm" \l "15" \t "http://www.visainchina.com/_blank"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color w:val="000000"/>
                <w:sz w:val="24"/>
                <w:szCs w:val="24"/>
              </w:rPr>
              <w:t>15 - 全球排名前 200 名大学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000000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instrText xml:space="preserve"> HYPERLINK "http://www.visainchina.com/work_permit_A_list_cn.htm" \l "16" \t "http://www.visainchina.com/_blank"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color w:val="000000"/>
                <w:sz w:val="24"/>
                <w:szCs w:val="24"/>
              </w:rPr>
              <w:t>16 - 世界着名乐团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instrText xml:space="preserve"> HYPERLINK "http://www.visainchina.com/work_permit_A_list_cn.htm" \l "17" \t "http://www.visainchina.com/_blank"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color w:val="000000"/>
                <w:sz w:val="24"/>
                <w:szCs w:val="24"/>
              </w:rPr>
              <w:t>17 - 世界着名歌剧院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instrText xml:space="preserve"> HYPERLINK "http://www.visainchina.com/work_permit_A_list_cn.htm" \l "18" \t "http://www.visainchina.com/_blank"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color w:val="000000"/>
                <w:sz w:val="24"/>
                <w:szCs w:val="24"/>
              </w:rPr>
              <w:t>18 - 世界着名音乐厅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"http://www.visainchina.com/work_permit_A_list_cn.htm" \l "19" \t "http://www.visainchina.com/_blank"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  <w:t>19 - 重要国际组织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000000"/>
                <w:lang w:val="en-US" w:eastAsia="zh-CN" w:bidi="ar"/>
              </w:rPr>
              <w:br w:type="textWrapping"/>
            </w:r>
          </w:p>
        </w:tc>
        <w:tc>
          <w:tcPr>
            <w:tcW w:w="0" w:type="auto"/>
            <w:shd w:val="clear" w:color="auto" w:fill="000000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18" w:name="_Toc20742"/>
      <w:r>
        <w:t>拥有的重大技术发明、专利等自主知识产权或专有技术出资</w:t>
      </w:r>
      <w:bookmarkEnd w:id="18"/>
    </w:p>
    <w:p/>
    <w:p>
      <w:pPr>
        <w:pStyle w:val="3"/>
        <w:bidi w:val="0"/>
        <w:rPr>
          <w:rFonts w:hint="default"/>
          <w:lang w:val="en-US" w:eastAsia="zh-CN"/>
        </w:rPr>
      </w:pPr>
      <w:bookmarkStart w:id="19" w:name="_Toc25664"/>
      <w:r>
        <w:t>超高学历人才，如果达到以下学历者</w:t>
      </w:r>
      <w:bookmarkEnd w:id="19"/>
    </w:p>
    <w:p/>
    <w:p>
      <w:pPr>
        <w:pStyle w:val="2"/>
        <w:bidi w:val="0"/>
        <w:rPr>
          <w:rFonts w:hint="default"/>
          <w:lang w:val="en-US" w:eastAsia="zh-CN"/>
        </w:rPr>
      </w:pPr>
      <w:bookmarkStart w:id="20" w:name="_Toc2593"/>
      <w:r>
        <w:t>积分要素计分赋值表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1454"/>
      <w:r>
        <w:rPr>
          <w:rFonts w:hint="eastAsia"/>
          <w:lang w:val="en-US" w:eastAsia="zh-CN"/>
        </w:rPr>
        <w:t>教育程度</w:t>
      </w:r>
      <w:bookmarkEnd w:id="21"/>
    </w:p>
    <w:p>
      <w:pPr>
        <w:pStyle w:val="3"/>
        <w:bidi w:val="0"/>
      </w:pPr>
      <w:bookmarkStart w:id="22" w:name="_Toc12120"/>
      <w:r>
        <w:t>职业资质证明</w:t>
      </w:r>
      <w:bookmarkEnd w:id="22"/>
    </w:p>
    <w:p>
      <w:pPr>
        <w:pStyle w:val="3"/>
        <w:bidi w:val="0"/>
      </w:pPr>
      <w:bookmarkStart w:id="23" w:name="_Toc12971"/>
      <w:r>
        <w:t>相关工作年限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6623"/>
      <w:r>
        <w:rPr>
          <w:rFonts w:hint="eastAsia"/>
          <w:lang w:val="en-US" w:eastAsia="zh-CN"/>
        </w:rPr>
        <w:t>语言水平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0248"/>
      <w:r>
        <w:rPr>
          <w:rFonts w:hint="eastAsia"/>
          <w:lang w:val="en-US" w:eastAsia="zh-CN"/>
        </w:rPr>
        <w:t>海外经历</w:t>
      </w:r>
      <w:bookmarkEnd w:id="2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6" w:name="_Toc11794"/>
      <w:r>
        <w:rPr>
          <w:rFonts w:hint="eastAsia"/>
          <w:lang w:val="en-US" w:eastAsia="zh-CN"/>
        </w:rPr>
        <w:t>知名</w:t>
      </w:r>
      <w:r>
        <w:rPr>
          <w:lang w:val="en-US" w:eastAsia="zh-CN"/>
        </w:rPr>
        <w:t>国际组织</w:t>
      </w:r>
      <w:bookmarkEnd w:id="26"/>
    </w:p>
    <w:p>
      <w:pPr>
        <w:pStyle w:val="3"/>
        <w:bidi w:val="0"/>
        <w:rPr>
          <w:rFonts w:hint="eastAsia"/>
        </w:rPr>
      </w:pPr>
      <w:bookmarkStart w:id="27" w:name="_Toc22261"/>
      <w:r>
        <w:t>4. 国际着名学术组织:</w:t>
      </w:r>
      <w:bookmarkEnd w:id="27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420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ascii="仿宋_GB2312" w:hAnsi="仿宋_GB2312" w:eastAsia="仿宋_GB2312" w:cs="仿宋_GB2312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2F2F2"/>
        </w:rPr>
        <w:t>电气与电子工程师学会（美国）—IEEE (The Institute of Electrical And Electronics Engineers)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420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ascii="仿宋_GB2312" w:hAnsi="仿宋_GB2312" w:eastAsia="仿宋_GB2312" w:cs="仿宋_GB2312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2F2F2"/>
        </w:rPr>
        <w:t>电气工程师学会（英国）—IEE (The Institutions of Electrical Engineers)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420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ascii="仿宋_GB2312" w:hAnsi="仿宋_GB2312" w:eastAsia="仿宋_GB2312" w:cs="仿宋_GB2312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2F2F2"/>
        </w:rPr>
        <w:t>国际电工委员会 —IEC (International Electrotechnical Commission)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420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ascii="仿宋_GB2312" w:hAnsi="仿宋_GB2312" w:eastAsia="仿宋_GB2312" w:cs="仿宋_GB2312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2F2F2"/>
        </w:rPr>
        <w:t>美国物理学会 —APS (American Physical Society)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420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ascii="仿宋_GB2312" w:hAnsi="仿宋_GB2312" w:eastAsia="仿宋_GB2312" w:cs="仿宋_GB2312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2F2F2"/>
        </w:rPr>
        <w:t>美国医药生物工程学会 —AIMBE (American Institute for Medical and Biological Engineering)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420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ascii="仿宋_GB2312" w:hAnsi="仿宋_GB2312" w:eastAsia="仿宋_GB2312" w:cs="仿宋_GB2312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2F2F2"/>
        </w:rPr>
        <w:t>美国计算机协会 —ACM（Association for Computing Machinery）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420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ascii="仿宋_GB2312" w:hAnsi="仿宋_GB2312" w:eastAsia="仿宋_GB2312" w:cs="仿宋_GB2312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2F2F2"/>
        </w:rPr>
        <w:t>美国机械工程师学会 —ASME（American Society of Mechanical Engineers）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420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ascii="仿宋_GB2312" w:hAnsi="仿宋_GB2312" w:eastAsia="仿宋_GB2312" w:cs="仿宋_GB2312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2F2F2"/>
        </w:rPr>
        <w:t>美国工业与应用数学学会（SIAM）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420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ascii="仿宋_GB2312" w:hAnsi="仿宋_GB2312" w:eastAsia="仿宋_GB2312" w:cs="仿宋_GB2312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2F2F2"/>
        </w:rPr>
        <w:t>美国航天航空学会（AIAA）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420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ascii="仿宋_GB2312" w:hAnsi="仿宋_GB2312" w:eastAsia="仿宋_GB2312" w:cs="仿宋_GB2312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2F2F2"/>
        </w:rPr>
        <w:t>英国皇家化学会（RSC）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420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ascii="仿宋_GB2312" w:hAnsi="仿宋_GB2312" w:eastAsia="仿宋_GB2312" w:cs="仿宋_GB2312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2F2F2"/>
        </w:rPr>
        <w:t>国际儿科肿瘤协会（International Society of Pediatric Oncology,SIOP)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420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ascii="仿宋_GB2312" w:hAnsi="仿宋_GB2312" w:eastAsia="仿宋_GB2312" w:cs="仿宋_GB2312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2F2F2"/>
        </w:rPr>
        <w:t>世界儿科感染学会（World Congress for Pediatric Infectious Diseases,WCPID)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420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ascii="仿宋_GB2312" w:hAnsi="仿宋_GB2312" w:eastAsia="仿宋_GB2312" w:cs="仿宋_GB2312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2F2F2"/>
        </w:rPr>
        <w:t>世界眼科学会联盟 (International Federation of Ophthalmological Societies,IFOS)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420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ascii="仿宋_GB2312" w:hAnsi="仿宋_GB2312" w:eastAsia="仿宋_GB2312" w:cs="仿宋_GB2312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2F2F2"/>
        </w:rPr>
        <w:t>世界精神病学协会（World Psychiatric Association,WPA)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420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ascii="仿宋_GB2312" w:hAnsi="仿宋_GB2312" w:eastAsia="仿宋_GB2312" w:cs="仿宋_GB2312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2F2F2"/>
        </w:rPr>
        <w:t>世界心胸外科医师学会（The World Society of Cardiothoracic Surgeons,WSCTS）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17143"/>
      <w:r>
        <w:t>17. 联合国总部或下设经济和金融类分支机构：</w:t>
      </w:r>
      <w:r>
        <w:rPr>
          <w:rFonts w:hint="eastAsia"/>
          <w:lang w:val="en-US" w:eastAsia="zh-CN"/>
        </w:rPr>
        <w:t>ngo组组织</w:t>
      </w:r>
      <w:bookmarkEnd w:id="28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420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ascii="仿宋_GB2312" w:hAnsi="仿宋_GB2312" w:eastAsia="仿宋_GB2312" w:cs="仿宋_GB2312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2F2F2"/>
        </w:rPr>
        <w:t>世贸组织 (WTO)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420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ascii="仿宋_GB2312" w:hAnsi="仿宋_GB2312" w:eastAsia="仿宋_GB2312" w:cs="仿宋_GB2312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2F2F2"/>
        </w:rPr>
        <w:t>国际货币基金组织（IMF）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420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ascii="仿宋_GB2312" w:hAnsi="仿宋_GB2312" w:eastAsia="仿宋_GB2312" w:cs="仿宋_GB2312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2F2F2"/>
        </w:rPr>
        <w:t>世界银行（World Bank）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420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ascii="仿宋_GB2312" w:hAnsi="仿宋_GB2312" w:eastAsia="仿宋_GB2312" w:cs="仿宋_GB2312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2F2F2"/>
        </w:rPr>
        <w:t>国际金融公司 (IFC)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420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ascii="仿宋_GB2312" w:hAnsi="仿宋_GB2312" w:eastAsia="仿宋_GB2312" w:cs="仿宋_GB2312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2F2F2"/>
        </w:rPr>
        <w:t>联合国贸易和发展会议 (UNCTAD)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420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ascii="仿宋_GB2312" w:hAnsi="仿宋_GB2312" w:eastAsia="仿宋_GB2312" w:cs="仿宋_GB2312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2F2F2"/>
        </w:rPr>
        <w:t>科学和技术促进发展委员会 (CSTD)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420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ascii="仿宋_GB2312" w:hAnsi="仿宋_GB2312" w:eastAsia="仿宋_GB2312" w:cs="仿宋_GB2312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2F2F2"/>
        </w:rPr>
        <w:t>国际开发协会（IDA）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420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ascii="仿宋_GB2312" w:hAnsi="仿宋_GB2312" w:eastAsia="仿宋_GB2312" w:cs="仿宋_GB2312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2F2F2"/>
        </w:rPr>
        <w:t>多边担保机构（MIGA）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22A4C8"/>
    <w:multiLevelType w:val="multilevel"/>
    <w:tmpl w:val="8C22A4C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AA6DAD"/>
    <w:rsid w:val="029C1BEA"/>
    <w:rsid w:val="08240076"/>
    <w:rsid w:val="08932128"/>
    <w:rsid w:val="09ED23BA"/>
    <w:rsid w:val="0F4F66AB"/>
    <w:rsid w:val="0FE0387C"/>
    <w:rsid w:val="11A04EE2"/>
    <w:rsid w:val="139D4E69"/>
    <w:rsid w:val="14AA6DAD"/>
    <w:rsid w:val="2C10274E"/>
    <w:rsid w:val="2D23527B"/>
    <w:rsid w:val="2D627F95"/>
    <w:rsid w:val="343B63C8"/>
    <w:rsid w:val="3BB82F1E"/>
    <w:rsid w:val="3F636E7F"/>
    <w:rsid w:val="3F7B3A01"/>
    <w:rsid w:val="41A735B4"/>
    <w:rsid w:val="443B30C7"/>
    <w:rsid w:val="4590588A"/>
    <w:rsid w:val="4669285D"/>
    <w:rsid w:val="471D4E99"/>
    <w:rsid w:val="47BD611F"/>
    <w:rsid w:val="4865064E"/>
    <w:rsid w:val="4CFB5731"/>
    <w:rsid w:val="4D452ED4"/>
    <w:rsid w:val="4F77634F"/>
    <w:rsid w:val="51570432"/>
    <w:rsid w:val="51ED569D"/>
    <w:rsid w:val="5C445555"/>
    <w:rsid w:val="66754845"/>
    <w:rsid w:val="71CA0E67"/>
    <w:rsid w:val="73B25EC5"/>
    <w:rsid w:val="74DD260E"/>
    <w:rsid w:val="77145343"/>
    <w:rsid w:val="780F7508"/>
    <w:rsid w:val="78C37C32"/>
    <w:rsid w:val="7AC97F1A"/>
    <w:rsid w:val="7CC4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uiPriority w:val="0"/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Hyperlink"/>
    <w:basedOn w:val="1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2020-03-10T02:45:00Z</dcterms:created>
  <dc:creator>WPS_1569910632</dc:creator>
  <cp:lastModifiedBy>WPS_1569910632</cp:lastModifiedBy>
  <dcterms:modified xsi:type="dcterms:W3CDTF">2020-03-10T03:08:40Z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