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分享培训布道 </w:t>
      </w:r>
      <w:r>
        <w:rPr>
          <w:rFonts w:hint="eastAsia"/>
          <w:lang w:eastAsia="zh-CN"/>
        </w:rPr>
        <w:t>培训新人与培训体系的建设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需求分析 </w:t>
      </w:r>
      <w:bookmarkStart w:id="0" w:name="_GoBack"/>
      <w:bookmarkEnd w:id="0"/>
      <w:r>
        <w:rPr>
          <w:rFonts w:hint="eastAsia"/>
          <w:lang w:val="en-US" w:eastAsia="zh-CN"/>
        </w:rPr>
        <w:t>产品研发 与开发平台建设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技术体系化建设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关注新特性与趋势，聚合不同的数据来源，归纳总结</w:t>
      </w:r>
    </w:p>
    <w:p>
      <w:r>
        <w:rPr>
          <w:rFonts w:hint="eastAsia"/>
          <w:lang w:val="en-US" w:eastAsia="zh-CN"/>
        </w:rPr>
        <w:t xml:space="preserve">标准化草案编制 </w:t>
      </w:r>
      <w:r>
        <w:t>流程优化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"http://blog.csdn.net/attilax/article/details/69662029" \l "_Toc14138"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内部制度建设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  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规范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 </w:t>
      </w:r>
      <w:r>
        <w:rPr>
          <w:rStyle w:val="6"/>
          <w:rFonts w:ascii="PingFang SC" w:hAnsi="PingFang SC" w:eastAsia="PingFang SC" w:cs="PingFang SC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解决方案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"http://blog.csdn.net/attilax/article/details/69662029" \l "_Toc14272"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工具链体系建设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2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 规范 最佳实践以及解决方案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技术战略制定与规划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新特性收集（ui os,db,框架，类库）1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技术选型，评估 验证3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知识库管理体系建立与维护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知识图谱体系的建立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企业与团队文化维护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研发模式与方法论整合研究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1436B"/>
    <w:rsid w:val="006F0003"/>
    <w:rsid w:val="01222210"/>
    <w:rsid w:val="02AF6685"/>
    <w:rsid w:val="02DE0892"/>
    <w:rsid w:val="037F019B"/>
    <w:rsid w:val="04140DCA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0A238B7"/>
    <w:rsid w:val="11013873"/>
    <w:rsid w:val="110173E0"/>
    <w:rsid w:val="12F4508D"/>
    <w:rsid w:val="13AA5FE6"/>
    <w:rsid w:val="13EA786D"/>
    <w:rsid w:val="147C2E69"/>
    <w:rsid w:val="15220640"/>
    <w:rsid w:val="164C77BE"/>
    <w:rsid w:val="186C676B"/>
    <w:rsid w:val="188A4032"/>
    <w:rsid w:val="19F36EFB"/>
    <w:rsid w:val="1A241DB3"/>
    <w:rsid w:val="1A7654E7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466E81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9081245"/>
    <w:rsid w:val="3A3B1606"/>
    <w:rsid w:val="3B5F5E03"/>
    <w:rsid w:val="3BFB1636"/>
    <w:rsid w:val="3D3F2905"/>
    <w:rsid w:val="3D5665B6"/>
    <w:rsid w:val="3D9E13D5"/>
    <w:rsid w:val="3DDA1DAE"/>
    <w:rsid w:val="40B650EF"/>
    <w:rsid w:val="40D23AF8"/>
    <w:rsid w:val="416F085F"/>
    <w:rsid w:val="420C25BD"/>
    <w:rsid w:val="424335B9"/>
    <w:rsid w:val="42E60F69"/>
    <w:rsid w:val="43505D5B"/>
    <w:rsid w:val="44354DF8"/>
    <w:rsid w:val="450E1F78"/>
    <w:rsid w:val="4520076E"/>
    <w:rsid w:val="47291BAE"/>
    <w:rsid w:val="47D03764"/>
    <w:rsid w:val="48A07193"/>
    <w:rsid w:val="48A5539D"/>
    <w:rsid w:val="48B313A2"/>
    <w:rsid w:val="49BE06B0"/>
    <w:rsid w:val="49E86F94"/>
    <w:rsid w:val="4A106295"/>
    <w:rsid w:val="4BC52E52"/>
    <w:rsid w:val="4C277119"/>
    <w:rsid w:val="4C447FAD"/>
    <w:rsid w:val="4CDE6727"/>
    <w:rsid w:val="4D4756F3"/>
    <w:rsid w:val="4DFD62B4"/>
    <w:rsid w:val="4E150092"/>
    <w:rsid w:val="4E7E480F"/>
    <w:rsid w:val="500702D5"/>
    <w:rsid w:val="509733F8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0B234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1EA3DC6"/>
    <w:rsid w:val="62890024"/>
    <w:rsid w:val="629C5F6F"/>
    <w:rsid w:val="63797645"/>
    <w:rsid w:val="645D3602"/>
    <w:rsid w:val="64602D42"/>
    <w:rsid w:val="64AC1621"/>
    <w:rsid w:val="65400FFB"/>
    <w:rsid w:val="65E1436B"/>
    <w:rsid w:val="66085E03"/>
    <w:rsid w:val="666E1210"/>
    <w:rsid w:val="67826918"/>
    <w:rsid w:val="68185B98"/>
    <w:rsid w:val="68561947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04F0843"/>
    <w:rsid w:val="70647937"/>
    <w:rsid w:val="70AF45CB"/>
    <w:rsid w:val="71326183"/>
    <w:rsid w:val="716C187C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4E3625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2017-04-16T15:31:00Z</dcterms:created>
  <dc:creator>Administrator</dc:creator>
  <cp:lastModifiedBy>Administrator</cp:lastModifiedBy>
  <dcterms:modified xsi:type="dcterms:W3CDTF">2017-04-16T15:42:05Z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