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i w:val="0"/>
          <w:caps w:val="0"/>
          <w:color w:val="333333"/>
          <w:spacing w:val="0"/>
          <w:sz w:val="21"/>
          <w:szCs w:val="21"/>
          <w:shd w:val="clear" w:fill="FFFFFF"/>
          <w:lang w:val="en-US" w:eastAsia="zh-CN"/>
        </w:rPr>
      </w:pPr>
      <w:r>
        <w:rPr>
          <w:rFonts w:hint="eastAsia"/>
          <w:lang w:val="en-US" w:eastAsia="zh-CN"/>
        </w:rPr>
        <w:t xml:space="preserve">Atiitt </w:t>
      </w:r>
      <w:r>
        <w:rPr>
          <w:rFonts w:hint="eastAsia" w:ascii="Arial" w:hAnsi="Arial" w:eastAsia="宋体" w:cs="Arial"/>
          <w:b/>
          <w:i w:val="0"/>
          <w:caps w:val="0"/>
          <w:color w:val="333333"/>
          <w:spacing w:val="0"/>
          <w:sz w:val="21"/>
          <w:szCs w:val="21"/>
          <w:shd w:val="clear" w:fill="FFFFFF"/>
        </w:rPr>
        <w:t>六祖坛经</w:t>
      </w:r>
      <w:r>
        <w:rPr>
          <w:rFonts w:hint="eastAsia" w:ascii="Arial" w:hAnsi="Arial" w:eastAsia="宋体" w:cs="Arial"/>
          <w:b/>
          <w:i w:val="0"/>
          <w:caps w:val="0"/>
          <w:color w:val="333333"/>
          <w:spacing w:val="0"/>
          <w:sz w:val="21"/>
          <w:szCs w:val="21"/>
          <w:shd w:val="clear" w:fill="FFFFFF"/>
          <w:lang w:eastAsia="zh-CN"/>
        </w:rPr>
        <w:t>读后感以及在企业文化中</w:t>
      </w:r>
      <w:r>
        <w:rPr>
          <w:rFonts w:hint="eastAsia" w:ascii="Arial" w:hAnsi="Arial" w:eastAsia="宋体" w:cs="Arial"/>
          <w:b/>
          <w:i w:val="0"/>
          <w:caps w:val="0"/>
          <w:color w:val="333333"/>
          <w:spacing w:val="0"/>
          <w:sz w:val="21"/>
          <w:szCs w:val="21"/>
          <w:shd w:val="clear" w:fill="FFFFFF"/>
          <w:lang w:val="en-US" w:eastAsia="zh-CN"/>
        </w:rPr>
        <w:t xml:space="preserve"> 的用用.</w:t>
      </w:r>
    </w:p>
    <w:p>
      <w:pPr>
        <w:rPr>
          <w:rFonts w:hint="eastAsia" w:ascii="Arial" w:hAnsi="Arial" w:eastAsia="宋体" w:cs="Arial"/>
          <w:b/>
          <w:i w:val="0"/>
          <w:caps w:val="0"/>
          <w:color w:val="333333"/>
          <w:spacing w:val="0"/>
          <w:sz w:val="21"/>
          <w:szCs w:val="21"/>
          <w:shd w:val="clear" w:fill="FFFFFF"/>
          <w:lang w:val="en-US" w:eastAsia="zh-CN"/>
        </w:rPr>
      </w:pPr>
    </w:p>
    <w:p>
      <w:pPr>
        <w:pStyle w:val="11"/>
        <w:tabs>
          <w:tab w:val="right" w:leader="dot" w:pos="8306"/>
        </w:tabs>
      </w:pPr>
      <w:bookmarkStart w:id="6" w:name="_GoBack"/>
      <w:bookmarkEnd w:id="6"/>
      <w:r>
        <w:rPr>
          <w:rFonts w:hint="eastAsia" w:ascii="Arial" w:hAnsi="Arial" w:eastAsia="宋体" w:cs="Arial"/>
          <w:b/>
          <w:i w:val="0"/>
          <w:caps w:val="0"/>
          <w:color w:val="333333"/>
          <w:spacing w:val="0"/>
          <w:sz w:val="21"/>
          <w:szCs w:val="21"/>
          <w:shd w:val="clear" w:fill="FFFFFF"/>
          <w:lang w:val="en-US" w:eastAsia="zh-CN"/>
        </w:rPr>
        <w:fldChar w:fldCharType="begin"/>
      </w:r>
      <w:r>
        <w:rPr>
          <w:rFonts w:hint="eastAsia" w:ascii="Arial" w:hAnsi="Arial" w:eastAsia="宋体" w:cs="Arial"/>
          <w:b/>
          <w:i w:val="0"/>
          <w:caps w:val="0"/>
          <w:color w:val="333333"/>
          <w:spacing w:val="0"/>
          <w:sz w:val="21"/>
          <w:szCs w:val="21"/>
          <w:shd w:val="clear" w:fill="FFFFFF"/>
          <w:lang w:val="en-US" w:eastAsia="zh-CN"/>
        </w:rPr>
        <w:instrText xml:space="preserve">TOC \o "1-3" \h \u </w:instrText>
      </w:r>
      <w:r>
        <w:rPr>
          <w:rFonts w:hint="eastAsia" w:ascii="Arial" w:hAnsi="Arial" w:eastAsia="宋体" w:cs="Arial"/>
          <w:b/>
          <w:i w:val="0"/>
          <w:caps w:val="0"/>
          <w:color w:val="333333"/>
          <w:spacing w:val="0"/>
          <w:sz w:val="21"/>
          <w:szCs w:val="21"/>
          <w:shd w:val="clear" w:fill="FFFFFF"/>
          <w:lang w:val="en-US" w:eastAsia="zh-CN"/>
        </w:rPr>
        <w:fldChar w:fldCharType="separate"/>
      </w:r>
      <w:r>
        <w:rPr>
          <w:rFonts w:hint="eastAsia" w:ascii="Arial" w:hAnsi="Arial" w:eastAsia="宋体" w:cs="Arial"/>
          <w:b/>
          <w:i w:val="0"/>
          <w:caps w:val="0"/>
          <w:color w:val="333333"/>
          <w:spacing w:val="0"/>
          <w:szCs w:val="21"/>
          <w:shd w:val="clear" w:fill="FFFFFF"/>
          <w:lang w:val="en-US" w:eastAsia="zh-CN"/>
        </w:rPr>
        <w:fldChar w:fldCharType="begin"/>
      </w:r>
      <w:r>
        <w:rPr>
          <w:rFonts w:hint="eastAsia" w:ascii="Arial" w:hAnsi="Arial" w:eastAsia="宋体" w:cs="Arial"/>
          <w:b/>
          <w:i w:val="0"/>
          <w:caps w:val="0"/>
          <w:spacing w:val="0"/>
          <w:szCs w:val="21"/>
          <w:shd w:val="clear" w:fill="FFFFFF"/>
          <w:lang w:val="en-US" w:eastAsia="zh-CN"/>
        </w:rPr>
        <w:instrText xml:space="preserve"> HYPERLINK \l _Toc28571 </w:instrText>
      </w:r>
      <w:r>
        <w:rPr>
          <w:rFonts w:hint="eastAsia" w:ascii="Arial" w:hAnsi="Arial" w:eastAsia="宋体" w:cs="Arial"/>
          <w:b/>
          <w:i w:val="0"/>
          <w:caps w:val="0"/>
          <w:spacing w:val="0"/>
          <w:szCs w:val="21"/>
          <w:shd w:val="clear" w:fill="FFFFFF"/>
          <w:lang w:val="en-US" w:eastAsia="zh-CN"/>
        </w:rPr>
        <w:fldChar w:fldCharType="separate"/>
      </w:r>
      <w:r>
        <w:rPr>
          <w:rFonts w:hint="default"/>
          <w:lang w:val="en-US" w:eastAsia="zh-CN"/>
        </w:rPr>
        <w:t xml:space="preserve">1.1. </w:t>
      </w:r>
      <w:r>
        <w:rPr>
          <w:rFonts w:hint="eastAsia"/>
        </w:rPr>
        <w:t>佛法不二”思想。</w:t>
      </w:r>
      <w:r>
        <w:rPr>
          <w:rFonts w:hint="eastAsia"/>
          <w:lang w:eastAsia="zh-CN"/>
        </w:rPr>
        <w:t>，法，即是规范。就是规范比较重要</w:t>
      </w:r>
      <w:r>
        <w:rPr>
          <w:rFonts w:hint="eastAsia"/>
          <w:lang w:val="en-US" w:eastAsia="zh-CN"/>
        </w:rPr>
        <w:t xml:space="preserve"> 的意思</w:t>
      </w:r>
      <w:r>
        <w:tab/>
      </w:r>
      <w:r>
        <w:fldChar w:fldCharType="begin"/>
      </w:r>
      <w:r>
        <w:instrText xml:space="preserve"> PAGEREF _Toc28571 </w:instrText>
      </w:r>
      <w:r>
        <w:fldChar w:fldCharType="separate"/>
      </w:r>
      <w:r>
        <w:t>1</w:t>
      </w:r>
      <w:r>
        <w:fldChar w:fldCharType="end"/>
      </w:r>
      <w:r>
        <w:rPr>
          <w:rFonts w:hint="eastAsia" w:ascii="Arial" w:hAnsi="Arial" w:eastAsia="宋体" w:cs="Arial"/>
          <w:b/>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b/>
          <w:i w:val="0"/>
          <w:caps w:val="0"/>
          <w:color w:val="333333"/>
          <w:spacing w:val="0"/>
          <w:szCs w:val="21"/>
          <w:shd w:val="clear" w:fill="FFFFFF"/>
          <w:lang w:val="en-US" w:eastAsia="zh-CN"/>
        </w:rPr>
        <w:fldChar w:fldCharType="begin"/>
      </w:r>
      <w:r>
        <w:rPr>
          <w:rFonts w:hint="eastAsia" w:ascii="Arial" w:hAnsi="Arial" w:eastAsia="宋体" w:cs="Arial"/>
          <w:b/>
          <w:i w:val="0"/>
          <w:caps w:val="0"/>
          <w:spacing w:val="0"/>
          <w:szCs w:val="21"/>
          <w:shd w:val="clear" w:fill="FFFFFF"/>
          <w:lang w:val="en-US" w:eastAsia="zh-CN"/>
        </w:rPr>
        <w:instrText xml:space="preserve"> HYPERLINK \l _Toc26322 </w:instrText>
      </w:r>
      <w:r>
        <w:rPr>
          <w:rFonts w:hint="eastAsia" w:ascii="Arial" w:hAnsi="Arial" w:eastAsia="宋体" w:cs="Arial"/>
          <w:b/>
          <w:i w:val="0"/>
          <w:caps w:val="0"/>
          <w:spacing w:val="0"/>
          <w:szCs w:val="21"/>
          <w:shd w:val="clear" w:fill="FFFFFF"/>
          <w:lang w:val="en-US" w:eastAsia="zh-CN"/>
        </w:rPr>
        <w:fldChar w:fldCharType="separate"/>
      </w:r>
      <w:r>
        <w:rPr>
          <w:rFonts w:hint="default"/>
          <w:lang w:val="en-US" w:eastAsia="zh-CN"/>
        </w:rPr>
        <w:t xml:space="preserve">1.2. </w:t>
      </w:r>
      <w:r>
        <w:rPr>
          <w:rFonts w:hint="eastAsia"/>
        </w:rPr>
        <w:t>自修自悟“顿悟成佛”</w:t>
      </w:r>
      <w:r>
        <w:rPr>
          <w:rFonts w:hint="eastAsia"/>
          <w:lang w:val="en-US" w:eastAsia="zh-CN"/>
        </w:rPr>
        <w:t xml:space="preserve"> 。。建立学习型组织 </w:t>
      </w:r>
      <w:r>
        <w:rPr>
          <w:rFonts w:hint="eastAsia" w:ascii="Arial" w:hAnsi="Arial" w:eastAsia="宋体" w:cs="Arial"/>
          <w:b w:val="0"/>
          <w:i w:val="0"/>
          <w:caps w:val="0"/>
          <w:spacing w:val="0"/>
          <w:szCs w:val="21"/>
          <w:shd w:val="clear" w:fill="FFFFFF"/>
        </w:rPr>
        <w:t>师度与自度</w:t>
      </w:r>
      <w:r>
        <w:rPr>
          <w:rFonts w:hint="eastAsia" w:ascii="Arial" w:hAnsi="Arial" w:eastAsia="宋体" w:cs="Arial"/>
          <w:b w:val="0"/>
          <w:i w:val="0"/>
          <w:caps w:val="0"/>
          <w:spacing w:val="0"/>
          <w:szCs w:val="21"/>
          <w:shd w:val="clear" w:fill="FFFFFF"/>
          <w:lang w:val="en-US" w:eastAsia="zh-CN"/>
        </w:rPr>
        <w:t xml:space="preserve"> 与百度</w:t>
      </w:r>
      <w:r>
        <w:tab/>
      </w:r>
      <w:r>
        <w:fldChar w:fldCharType="begin"/>
      </w:r>
      <w:r>
        <w:instrText xml:space="preserve"> PAGEREF _Toc26322 </w:instrText>
      </w:r>
      <w:r>
        <w:fldChar w:fldCharType="separate"/>
      </w:r>
      <w:r>
        <w:t>1</w:t>
      </w:r>
      <w:r>
        <w:fldChar w:fldCharType="end"/>
      </w:r>
      <w:r>
        <w:rPr>
          <w:rFonts w:hint="eastAsia" w:ascii="Arial" w:hAnsi="Arial" w:eastAsia="宋体" w:cs="Arial"/>
          <w:b/>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b/>
          <w:i w:val="0"/>
          <w:caps w:val="0"/>
          <w:color w:val="333333"/>
          <w:spacing w:val="0"/>
          <w:szCs w:val="21"/>
          <w:shd w:val="clear" w:fill="FFFFFF"/>
          <w:lang w:val="en-US" w:eastAsia="zh-CN"/>
        </w:rPr>
        <w:fldChar w:fldCharType="begin"/>
      </w:r>
      <w:r>
        <w:rPr>
          <w:rFonts w:hint="eastAsia" w:ascii="Arial" w:hAnsi="Arial" w:eastAsia="宋体" w:cs="Arial"/>
          <w:b/>
          <w:i w:val="0"/>
          <w:caps w:val="0"/>
          <w:spacing w:val="0"/>
          <w:szCs w:val="21"/>
          <w:shd w:val="clear" w:fill="FFFFFF"/>
          <w:lang w:val="en-US" w:eastAsia="zh-CN"/>
        </w:rPr>
        <w:instrText xml:space="preserve"> HYPERLINK \l _Toc10134 </w:instrText>
      </w:r>
      <w:r>
        <w:rPr>
          <w:rFonts w:hint="eastAsia" w:ascii="Arial" w:hAnsi="Arial" w:eastAsia="宋体" w:cs="Arial"/>
          <w:b/>
          <w:i w:val="0"/>
          <w:caps w:val="0"/>
          <w:spacing w:val="0"/>
          <w:szCs w:val="21"/>
          <w:shd w:val="clear" w:fill="FFFFFF"/>
          <w:lang w:val="en-US" w:eastAsia="zh-CN"/>
        </w:rPr>
        <w:fldChar w:fldCharType="separate"/>
      </w:r>
      <w:r>
        <w:rPr>
          <w:rFonts w:hint="default"/>
          <w:lang w:val="en-US" w:eastAsia="zh-CN"/>
        </w:rPr>
        <w:t xml:space="preserve">1.3. </w:t>
      </w:r>
      <w:r>
        <w:rPr>
          <w:rFonts w:hint="eastAsia"/>
        </w:rPr>
        <w:t>《六祖坛经》禅</w:t>
      </w:r>
      <w:r>
        <w:rPr>
          <w:rFonts w:hint="default"/>
        </w:rPr>
        <w:t>学思想之三：“不立文字”。</w:t>
      </w:r>
      <w:r>
        <w:rPr>
          <w:rFonts w:hint="eastAsia"/>
          <w:lang w:val="en-US" w:eastAsia="zh-CN"/>
        </w:rPr>
        <w:t xml:space="preserve"> 大力简化修行方法</w:t>
      </w:r>
      <w:r>
        <w:tab/>
      </w:r>
      <w:r>
        <w:fldChar w:fldCharType="begin"/>
      </w:r>
      <w:r>
        <w:instrText xml:space="preserve"> PAGEREF _Toc10134 </w:instrText>
      </w:r>
      <w:r>
        <w:fldChar w:fldCharType="separate"/>
      </w:r>
      <w:r>
        <w:t>2</w:t>
      </w:r>
      <w:r>
        <w:fldChar w:fldCharType="end"/>
      </w:r>
      <w:r>
        <w:rPr>
          <w:rFonts w:hint="eastAsia" w:ascii="Arial" w:hAnsi="Arial" w:eastAsia="宋体" w:cs="Arial"/>
          <w:b/>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b/>
          <w:i w:val="0"/>
          <w:caps w:val="0"/>
          <w:color w:val="333333"/>
          <w:spacing w:val="0"/>
          <w:szCs w:val="21"/>
          <w:shd w:val="clear" w:fill="FFFFFF"/>
          <w:lang w:val="en-US" w:eastAsia="zh-CN"/>
        </w:rPr>
        <w:fldChar w:fldCharType="begin"/>
      </w:r>
      <w:r>
        <w:rPr>
          <w:rFonts w:hint="eastAsia" w:ascii="Arial" w:hAnsi="Arial" w:eastAsia="宋体" w:cs="Arial"/>
          <w:b/>
          <w:i w:val="0"/>
          <w:caps w:val="0"/>
          <w:spacing w:val="0"/>
          <w:szCs w:val="21"/>
          <w:shd w:val="clear" w:fill="FFFFFF"/>
          <w:lang w:val="en-US" w:eastAsia="zh-CN"/>
        </w:rPr>
        <w:instrText xml:space="preserve"> HYPERLINK \l _Toc9342 </w:instrText>
      </w:r>
      <w:r>
        <w:rPr>
          <w:rFonts w:hint="eastAsia" w:ascii="Arial" w:hAnsi="Arial" w:eastAsia="宋体" w:cs="Arial"/>
          <w:b/>
          <w:i w:val="0"/>
          <w:caps w:val="0"/>
          <w:spacing w:val="0"/>
          <w:szCs w:val="21"/>
          <w:shd w:val="clear" w:fill="FFFFFF"/>
          <w:lang w:val="en-US" w:eastAsia="zh-CN"/>
        </w:rPr>
        <w:fldChar w:fldCharType="separate"/>
      </w:r>
      <w:r>
        <w:rPr>
          <w:rFonts w:hint="default"/>
        </w:rPr>
        <w:t xml:space="preserve">1.4. </w:t>
      </w:r>
      <w:r>
        <w:rPr>
          <w:rFonts w:hint="default"/>
          <w:lang w:val="en-US" w:eastAsia="zh-CN"/>
        </w:rPr>
        <w:t>《六祖坛经》禅学思想之四：“三无”思想。</w:t>
      </w:r>
      <w:r>
        <w:tab/>
      </w:r>
      <w:r>
        <w:fldChar w:fldCharType="begin"/>
      </w:r>
      <w:r>
        <w:instrText xml:space="preserve"> PAGEREF _Toc9342 </w:instrText>
      </w:r>
      <w:r>
        <w:fldChar w:fldCharType="separate"/>
      </w:r>
      <w:r>
        <w:t>2</w:t>
      </w:r>
      <w:r>
        <w:fldChar w:fldCharType="end"/>
      </w:r>
      <w:r>
        <w:rPr>
          <w:rFonts w:hint="eastAsia" w:ascii="Arial" w:hAnsi="Arial" w:eastAsia="宋体" w:cs="Arial"/>
          <w:b/>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b/>
          <w:i w:val="0"/>
          <w:caps w:val="0"/>
          <w:color w:val="333333"/>
          <w:spacing w:val="0"/>
          <w:szCs w:val="21"/>
          <w:shd w:val="clear" w:fill="FFFFFF"/>
          <w:lang w:val="en-US" w:eastAsia="zh-CN"/>
        </w:rPr>
        <w:fldChar w:fldCharType="begin"/>
      </w:r>
      <w:r>
        <w:rPr>
          <w:rFonts w:hint="eastAsia" w:ascii="Arial" w:hAnsi="Arial" w:eastAsia="宋体" w:cs="Arial"/>
          <w:b/>
          <w:i w:val="0"/>
          <w:caps w:val="0"/>
          <w:spacing w:val="0"/>
          <w:szCs w:val="21"/>
          <w:shd w:val="clear" w:fill="FFFFFF"/>
          <w:lang w:val="en-US" w:eastAsia="zh-CN"/>
        </w:rPr>
        <w:instrText xml:space="preserve"> HYPERLINK \l _Toc6366 </w:instrText>
      </w:r>
      <w:r>
        <w:rPr>
          <w:rFonts w:hint="eastAsia" w:ascii="Arial" w:hAnsi="Arial" w:eastAsia="宋体" w:cs="Arial"/>
          <w:b/>
          <w:i w:val="0"/>
          <w:caps w:val="0"/>
          <w:spacing w:val="0"/>
          <w:szCs w:val="21"/>
          <w:shd w:val="clear" w:fill="FFFFFF"/>
          <w:lang w:val="en-US" w:eastAsia="zh-CN"/>
        </w:rPr>
        <w:fldChar w:fldCharType="separate"/>
      </w:r>
      <w:r>
        <w:rPr>
          <w:rFonts w:hint="default"/>
        </w:rPr>
        <w:t xml:space="preserve">1.5. </w:t>
      </w:r>
      <w:r>
        <w:rPr>
          <w:rFonts w:hint="default"/>
          <w:lang w:val="en-US" w:eastAsia="zh-CN"/>
        </w:rPr>
        <w:t>3、学习动力——仁者心动</w:t>
      </w:r>
      <w:r>
        <w:rPr>
          <w:rFonts w:hint="eastAsia"/>
          <w:lang w:val="en-US" w:eastAsia="zh-CN"/>
        </w:rPr>
        <w:t xml:space="preserve"> </w:t>
      </w:r>
      <w:r>
        <w:rPr>
          <w:rFonts w:hint="default"/>
          <w:lang w:val="en-US" w:eastAsia="zh-CN"/>
        </w:rPr>
        <w:t>惠能的“风幡动论”</w:t>
      </w:r>
      <w:r>
        <w:tab/>
      </w:r>
      <w:r>
        <w:fldChar w:fldCharType="begin"/>
      </w:r>
      <w:r>
        <w:instrText xml:space="preserve"> PAGEREF _Toc6366 </w:instrText>
      </w:r>
      <w:r>
        <w:fldChar w:fldCharType="separate"/>
      </w:r>
      <w:r>
        <w:t>2</w:t>
      </w:r>
      <w:r>
        <w:fldChar w:fldCharType="end"/>
      </w:r>
      <w:r>
        <w:rPr>
          <w:rFonts w:hint="eastAsia" w:ascii="Arial" w:hAnsi="Arial" w:eastAsia="宋体" w:cs="Arial"/>
          <w:b/>
          <w:i w:val="0"/>
          <w:caps w:val="0"/>
          <w:color w:val="333333"/>
          <w:spacing w:val="0"/>
          <w:szCs w:val="21"/>
          <w:shd w:val="clear" w:fill="FFFFFF"/>
          <w:lang w:val="en-US" w:eastAsia="zh-CN"/>
        </w:rPr>
        <w:fldChar w:fldCharType="end"/>
      </w:r>
    </w:p>
    <w:p>
      <w:pPr>
        <w:rPr>
          <w:rFonts w:hint="eastAsia" w:ascii="Arial" w:hAnsi="Arial" w:eastAsia="宋体" w:cs="Arial"/>
          <w:b/>
          <w:i w:val="0"/>
          <w:caps w:val="0"/>
          <w:color w:val="333333"/>
          <w:spacing w:val="0"/>
          <w:sz w:val="21"/>
          <w:szCs w:val="21"/>
          <w:shd w:val="clear" w:fill="FFFFFF"/>
          <w:lang w:val="en-US" w:eastAsia="zh-CN"/>
        </w:rPr>
      </w:pPr>
      <w:r>
        <w:rPr>
          <w:rFonts w:hint="eastAsia" w:ascii="Arial" w:hAnsi="Arial" w:eastAsia="宋体" w:cs="Arial"/>
          <w:b/>
          <w:i w:val="0"/>
          <w:caps w:val="0"/>
          <w:color w:val="333333"/>
          <w:spacing w:val="0"/>
          <w:szCs w:val="21"/>
          <w:shd w:val="clear" w:fill="FFFFFF"/>
          <w:lang w:val="en-US" w:eastAsia="zh-CN"/>
        </w:rPr>
        <w:fldChar w:fldCharType="end"/>
      </w:r>
    </w:p>
    <w:p>
      <w:pPr>
        <w:rPr>
          <w:rFonts w:hint="eastAsia" w:ascii="Arial" w:hAnsi="Arial" w:eastAsia="宋体" w:cs="Arial"/>
          <w:b/>
          <w:i w:val="0"/>
          <w:caps w:val="0"/>
          <w:color w:val="333333"/>
          <w:spacing w:val="0"/>
          <w:sz w:val="21"/>
          <w:szCs w:val="21"/>
          <w:shd w:val="clear" w:fill="FFFFFF"/>
          <w:lang w:val="en-US" w:eastAsia="zh-CN"/>
        </w:rPr>
      </w:pPr>
    </w:p>
    <w:p>
      <w:pPr>
        <w:rPr>
          <w:rFonts w:hint="eastAsia" w:ascii="Arial" w:hAnsi="Arial" w:eastAsia="宋体" w:cs="Arial"/>
          <w:b/>
          <w:i w:val="0"/>
          <w:caps w:val="0"/>
          <w:color w:val="333333"/>
          <w:spacing w:val="0"/>
          <w:sz w:val="21"/>
          <w:szCs w:val="21"/>
          <w:shd w:val="clear" w:fill="FFFFFF"/>
          <w:lang w:val="en-US" w:eastAsia="zh-CN"/>
        </w:rPr>
      </w:pPr>
    </w:p>
    <w:p>
      <w:pPr>
        <w:pStyle w:val="3"/>
        <w:ind w:left="575" w:leftChars="0" w:hanging="575" w:firstLineChars="0"/>
        <w:rPr>
          <w:rFonts w:hint="eastAsia"/>
          <w:lang w:val="en-US" w:eastAsia="zh-CN"/>
        </w:rPr>
      </w:pPr>
      <w:bookmarkStart w:id="0" w:name="_Toc28571"/>
      <w:r>
        <w:rPr>
          <w:rFonts w:hint="eastAsia"/>
        </w:rPr>
        <w:t>佛法不二”思想。</w:t>
      </w:r>
      <w:r>
        <w:rPr>
          <w:rFonts w:hint="eastAsia"/>
          <w:lang w:eastAsia="zh-CN"/>
        </w:rPr>
        <w:t>，法，即是规范。就是规范比较重要</w:t>
      </w:r>
      <w:r>
        <w:rPr>
          <w:rFonts w:hint="eastAsia"/>
          <w:lang w:val="en-US" w:eastAsia="zh-CN"/>
        </w:rPr>
        <w:t xml:space="preserve"> 的意思</w:t>
      </w:r>
      <w:bookmarkEnd w:id="0"/>
    </w:p>
    <w:p>
      <w:pPr>
        <w:rPr>
          <w:rFonts w:hint="eastAsia" w:ascii="Arial" w:hAnsi="Arial" w:eastAsia="宋体" w:cs="Arial"/>
          <w:b/>
          <w:i w:val="0"/>
          <w:caps w:val="0"/>
          <w:color w:val="333333"/>
          <w:spacing w:val="0"/>
          <w:sz w:val="21"/>
          <w:szCs w:val="21"/>
          <w:shd w:val="clear" w:fill="FFFFFF"/>
          <w:lang w:val="en-US" w:eastAsia="zh-CN"/>
        </w:rPr>
      </w:pPr>
    </w:p>
    <w:p>
      <w:pPr>
        <w:rPr>
          <w:rFonts w:hint="eastAsia" w:ascii="Arial" w:hAnsi="Arial" w:eastAsia="宋体" w:cs="Arial"/>
          <w:b/>
          <w:i w:val="0"/>
          <w:caps w:val="0"/>
          <w:color w:val="333333"/>
          <w:spacing w:val="0"/>
          <w:sz w:val="21"/>
          <w:szCs w:val="21"/>
          <w:shd w:val="clear" w:fill="FFFFFF"/>
          <w:lang w:val="en-US" w:eastAsia="zh-CN"/>
        </w:rPr>
      </w:pPr>
    </w:p>
    <w:p>
      <w:pPr>
        <w:pStyle w:val="3"/>
        <w:rPr>
          <w:rFonts w:hint="eastAsia"/>
          <w:lang w:val="en-US" w:eastAsia="zh-CN"/>
        </w:rPr>
      </w:pPr>
      <w:bookmarkStart w:id="1" w:name="_Toc26322"/>
      <w:r>
        <w:rPr>
          <w:rFonts w:hint="eastAsia"/>
        </w:rPr>
        <w:t>自修自悟“顿悟成佛”</w:t>
      </w:r>
      <w:r>
        <w:rPr>
          <w:rFonts w:hint="eastAsia"/>
          <w:lang w:val="en-US" w:eastAsia="zh-CN"/>
        </w:rPr>
        <w:t xml:space="preserve"> 。。建立学习型组织 </w:t>
      </w:r>
      <w:r>
        <w:rPr>
          <w:rFonts w:hint="eastAsia" w:ascii="Arial" w:hAnsi="Arial" w:eastAsia="宋体" w:cs="Arial"/>
          <w:b w:val="0"/>
          <w:i w:val="0"/>
          <w:caps w:val="0"/>
          <w:color w:val="333333"/>
          <w:spacing w:val="0"/>
          <w:sz w:val="21"/>
          <w:szCs w:val="21"/>
          <w:shd w:val="clear" w:fill="FFFFFF"/>
        </w:rPr>
        <w:t>师度与自度</w:t>
      </w:r>
      <w:r>
        <w:rPr>
          <w:rFonts w:hint="eastAsia" w:ascii="Arial" w:hAnsi="Arial" w:eastAsia="宋体" w:cs="Arial"/>
          <w:b w:val="0"/>
          <w:i w:val="0"/>
          <w:caps w:val="0"/>
          <w:color w:val="333333"/>
          <w:spacing w:val="0"/>
          <w:sz w:val="21"/>
          <w:szCs w:val="21"/>
          <w:shd w:val="clear" w:fill="FFFFFF"/>
          <w:lang w:val="en-US" w:eastAsia="zh-CN"/>
        </w:rPr>
        <w:t xml:space="preserve"> 与百度</w:t>
      </w:r>
      <w:bookmarkEnd w:id="1"/>
    </w:p>
    <w:p>
      <w:pPr>
        <w:rPr>
          <w:rFonts w:hint="eastAsia" w:ascii="Arial" w:hAnsi="Arial" w:eastAsia="宋体" w:cs="Arial"/>
          <w:b/>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自修自悟”是惠能修禅基本原则，《六祖坛经》指出“善知识，见性自净，自修自作法身，自行佛行，自作自成佛道。”惠能的自悟自修首先是建立在依自力不依他人的基础上的。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《六祖坛经》还指出“若自悟者，不假外善知识，若取外求善知识望得解脱，无有是处”惠能在自悟自修的基础上并不排斥“外善知识”的“示导作用”。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《六祖坛经》又指出“心地含情种，法雨即生花，自悟花情种，菩提果自成”。惠能的自悟自修说明了他自力更生的主张及揭示外因通过内因而起作用的原理。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佛在那里，佛那到底是什么，惠能通过自悟则认为，通过“顿悟”就可以成佛，人的心中自有佛的存在，人自己的佛才是真的佛，而所谓成佛实际就是“明心见性”，所以中国禅强调自性是佛。</w:t>
      </w:r>
    </w:p>
    <w:p>
      <w:pPr>
        <w:rPr>
          <w:rFonts w:hint="eastAsia" w:ascii="Arial" w:hAnsi="Arial" w:eastAsia="宋体" w:cs="Arial"/>
          <w:b/>
          <w:i w:val="0"/>
          <w:caps w:val="0"/>
          <w:color w:val="333333"/>
          <w:spacing w:val="0"/>
          <w:sz w:val="21"/>
          <w:szCs w:val="21"/>
          <w:shd w:val="clear" w:fill="FFFFFF"/>
          <w:lang w:val="en-US" w:eastAsia="zh-CN"/>
        </w:rPr>
      </w:pPr>
    </w:p>
    <w:p>
      <w:pPr>
        <w:rPr>
          <w:rFonts w:hint="eastAsia" w:ascii="Arial" w:hAnsi="Arial" w:eastAsia="宋体" w:cs="Arial"/>
          <w:b/>
          <w:i w:val="0"/>
          <w:caps w:val="0"/>
          <w:color w:val="333333"/>
          <w:spacing w:val="0"/>
          <w:sz w:val="21"/>
          <w:szCs w:val="21"/>
          <w:shd w:val="clear" w:fill="FFFFFF"/>
          <w:lang w:val="en-US" w:eastAsia="zh-CN"/>
        </w:rPr>
      </w:pPr>
    </w:p>
    <w:p>
      <w:pPr>
        <w:pStyle w:val="3"/>
        <w:rPr>
          <w:rFonts w:hint="eastAsia"/>
          <w:lang w:val="en-US" w:eastAsia="zh-CN"/>
        </w:rPr>
      </w:pPr>
      <w:bookmarkStart w:id="2" w:name="_Toc10134"/>
      <w:r>
        <w:rPr>
          <w:rFonts w:hint="eastAsia"/>
        </w:rPr>
        <w:t>《六祖坛经》禅</w:t>
      </w:r>
      <w:r>
        <w:rPr>
          <w:rFonts w:hint="default"/>
        </w:rPr>
        <w:t>学思想之三：“不立文字”。</w:t>
      </w:r>
      <w:r>
        <w:rPr>
          <w:rFonts w:hint="eastAsia"/>
          <w:lang w:val="en-US" w:eastAsia="zh-CN"/>
        </w:rPr>
        <w:t xml:space="preserve"> 大力简化修行方法</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惠能高举“不立文字”的旗帜，主要从如下三方面对隋唐以来佛教的弊端进行了变革：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1、在修持上反对公式化的修行模式，寄禅法于日常行住坐卧的生活之中；是惠能在修持上回归于佛陀之本怀。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2、反对形式化的受戒仪规，主张“无相戒”；即心戒，是惠能在持戒上回归于当初佛陀制戒的本怀。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3、在教义上反对经院化的繁琐义理研究，宣扬关注现实人生的佛法；从教义上回归了佛陀当初创教之本怀。</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[10]</w:t>
      </w:r>
      <w:bookmarkStart w:id="3" w:name="ref_[10]_5111638"/>
      <w:r>
        <w:rPr>
          <w:rFonts w:hint="default" w:ascii="Arial" w:hAnsi="Arial" w:eastAsia="宋体" w:cs="Arial"/>
          <w:b w:val="0"/>
          <w:i w:val="0"/>
          <w:caps w:val="0"/>
          <w:color w:val="136EC2"/>
          <w:spacing w:val="0"/>
          <w:kern w:val="0"/>
          <w:sz w:val="0"/>
          <w:szCs w:val="0"/>
          <w:u w:val="none"/>
          <w:bdr w:val="none" w:color="auto" w:sz="0" w:space="0"/>
          <w:shd w:val="clear" w:fill="FFFFFF"/>
          <w:lang w:val="en-US" w:eastAsia="zh-CN" w:bidi="ar"/>
        </w:rPr>
        <w:t> </w:t>
      </w:r>
      <w:bookmarkEnd w:id="3"/>
    </w:p>
    <w:p>
      <w:pPr>
        <w:pStyle w:val="3"/>
        <w:rPr>
          <w:rFonts w:hint="eastAsia"/>
        </w:rPr>
      </w:pPr>
      <w:bookmarkStart w:id="4" w:name="_Toc9342"/>
      <w:r>
        <w:rPr>
          <w:rFonts w:hint="default"/>
          <w:lang w:val="en-US" w:eastAsia="zh-CN"/>
        </w:rPr>
        <w:t>《六祖坛经》禅学思想之四：“三无”思想。</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三无”思想即“无念为宗，无相为体，无住为本”。六祖把其视为禅门修行的三大纲领。《坛经》进入《定慧品》，祖曰：“善知识，我此法门，从上以来先立无念为宗，无相为体，无住为本。”何为无念？《六祖坛经》的解释是：“于诸境上心不染着曰无念。于自念上，常离诸境，不于境上生心，若只百物不思，念尽除却，一念绝即死。”无念并非什么境界都不接触，或者什么都不想，而是在接触外境的时候，心不染着境界，如同明镜，境来则现，境去则无。何为无相？《六祖坛经》说：“外离一切相名为无相，能离于相则法体清净，此是以无相为体。”实相无相，但实相也并非离开万物，别有所指，这就需要有般若，以般若故不住于相，透过诸相，始能通达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何为无住？《坛经》释曰：“念念之中不思前念，若前念今念后念，念念相续不断，名为系缚于诸法上，若前念不住即无缚，此是以无住为本。”心住于境，则是心为境所缚，倘不住于境，则解脱也。所以般若思想以无住生心，为修行的要领。</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pStyle w:val="3"/>
        <w:rPr>
          <w:rFonts w:hint="default"/>
        </w:rPr>
      </w:pPr>
      <w:bookmarkStart w:id="5" w:name="_Toc6366"/>
      <w:r>
        <w:rPr>
          <w:rFonts w:hint="default"/>
          <w:lang w:val="en-US" w:eastAsia="zh-CN"/>
        </w:rPr>
        <w:t>3、学习动力——仁者心动</w:t>
      </w:r>
      <w:r>
        <w:rPr>
          <w:rFonts w:hint="eastAsia"/>
          <w:lang w:val="en-US" w:eastAsia="zh-CN"/>
        </w:rPr>
        <w:t xml:space="preserve"> </w:t>
      </w:r>
      <w:r>
        <w:rPr>
          <w:rFonts w:hint="default"/>
          <w:lang w:val="en-US" w:eastAsia="zh-CN"/>
        </w:rPr>
        <w:t>惠能的“风幡动论”</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pPr>
    </w:p>
    <w:p>
      <w:pPr>
        <w:rPr>
          <w:rFonts w:hint="eastAsia" w:ascii="Arial" w:hAnsi="Arial" w:eastAsia="宋体" w:cs="Arial"/>
          <w:b/>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BE01"/>
    <w:multiLevelType w:val="multilevel"/>
    <w:tmpl w:val="58D6BE0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A0A8F"/>
    <w:rsid w:val="006F0003"/>
    <w:rsid w:val="01222210"/>
    <w:rsid w:val="02AF6685"/>
    <w:rsid w:val="02DE0892"/>
    <w:rsid w:val="03340B24"/>
    <w:rsid w:val="037F019B"/>
    <w:rsid w:val="04246B24"/>
    <w:rsid w:val="04711F26"/>
    <w:rsid w:val="047D6330"/>
    <w:rsid w:val="04B24968"/>
    <w:rsid w:val="07D21766"/>
    <w:rsid w:val="08C92C36"/>
    <w:rsid w:val="094B164F"/>
    <w:rsid w:val="09B33B29"/>
    <w:rsid w:val="09D0281F"/>
    <w:rsid w:val="0A901B9C"/>
    <w:rsid w:val="0A932E91"/>
    <w:rsid w:val="0AB0031A"/>
    <w:rsid w:val="0AFD014C"/>
    <w:rsid w:val="0BE10E2D"/>
    <w:rsid w:val="0CD24809"/>
    <w:rsid w:val="0CE3661F"/>
    <w:rsid w:val="0D620139"/>
    <w:rsid w:val="0DB011BD"/>
    <w:rsid w:val="10871434"/>
    <w:rsid w:val="110173E0"/>
    <w:rsid w:val="12F4508D"/>
    <w:rsid w:val="13EA786D"/>
    <w:rsid w:val="147C2E69"/>
    <w:rsid w:val="164C77BE"/>
    <w:rsid w:val="19F36EFB"/>
    <w:rsid w:val="1A241DB3"/>
    <w:rsid w:val="1B402E42"/>
    <w:rsid w:val="1B721706"/>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4D626E1"/>
    <w:rsid w:val="25291EAD"/>
    <w:rsid w:val="25AF2BBF"/>
    <w:rsid w:val="25F36AF4"/>
    <w:rsid w:val="25F717B6"/>
    <w:rsid w:val="260E39D1"/>
    <w:rsid w:val="27510E4B"/>
    <w:rsid w:val="285C6A1A"/>
    <w:rsid w:val="29820F41"/>
    <w:rsid w:val="29BE0D38"/>
    <w:rsid w:val="2AA13B48"/>
    <w:rsid w:val="2ACD7E1E"/>
    <w:rsid w:val="2B481FE1"/>
    <w:rsid w:val="2B9A6ADB"/>
    <w:rsid w:val="2D0B349D"/>
    <w:rsid w:val="2D945EFD"/>
    <w:rsid w:val="2E6256EE"/>
    <w:rsid w:val="2E696893"/>
    <w:rsid w:val="2EA32993"/>
    <w:rsid w:val="2ED74BFA"/>
    <w:rsid w:val="2EE90AAC"/>
    <w:rsid w:val="2F865694"/>
    <w:rsid w:val="303368A3"/>
    <w:rsid w:val="32B328AC"/>
    <w:rsid w:val="33313D41"/>
    <w:rsid w:val="33E36740"/>
    <w:rsid w:val="34686F85"/>
    <w:rsid w:val="361C0964"/>
    <w:rsid w:val="36C13BDB"/>
    <w:rsid w:val="36CD0722"/>
    <w:rsid w:val="37FB6716"/>
    <w:rsid w:val="388A7A23"/>
    <w:rsid w:val="38DD535A"/>
    <w:rsid w:val="3A3B1606"/>
    <w:rsid w:val="3B5F5E03"/>
    <w:rsid w:val="3B626B84"/>
    <w:rsid w:val="3BFB1636"/>
    <w:rsid w:val="3D3F2905"/>
    <w:rsid w:val="3D5665B6"/>
    <w:rsid w:val="3DDA1DAE"/>
    <w:rsid w:val="3E657E40"/>
    <w:rsid w:val="4088162D"/>
    <w:rsid w:val="40D23AF8"/>
    <w:rsid w:val="416F085F"/>
    <w:rsid w:val="420C25BD"/>
    <w:rsid w:val="424335B9"/>
    <w:rsid w:val="42E60F69"/>
    <w:rsid w:val="44354DF8"/>
    <w:rsid w:val="450E1F78"/>
    <w:rsid w:val="4520076E"/>
    <w:rsid w:val="47291BAE"/>
    <w:rsid w:val="47D03764"/>
    <w:rsid w:val="47FE4139"/>
    <w:rsid w:val="48A5539D"/>
    <w:rsid w:val="49BE06B0"/>
    <w:rsid w:val="4BC52E52"/>
    <w:rsid w:val="4C27711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A32819"/>
    <w:rsid w:val="5DF323FD"/>
    <w:rsid w:val="5E9243F9"/>
    <w:rsid w:val="5FF46D54"/>
    <w:rsid w:val="60700BF7"/>
    <w:rsid w:val="61540E48"/>
    <w:rsid w:val="62890024"/>
    <w:rsid w:val="629C5F6F"/>
    <w:rsid w:val="63797645"/>
    <w:rsid w:val="645D3602"/>
    <w:rsid w:val="64602D42"/>
    <w:rsid w:val="64AC1621"/>
    <w:rsid w:val="65400FFB"/>
    <w:rsid w:val="65811C0E"/>
    <w:rsid w:val="66085E03"/>
    <w:rsid w:val="666E1210"/>
    <w:rsid w:val="67826918"/>
    <w:rsid w:val="68185B98"/>
    <w:rsid w:val="692858CD"/>
    <w:rsid w:val="69814FA6"/>
    <w:rsid w:val="69857FA6"/>
    <w:rsid w:val="69F6532A"/>
    <w:rsid w:val="6A0701BD"/>
    <w:rsid w:val="6A4E532B"/>
    <w:rsid w:val="6A9E2965"/>
    <w:rsid w:val="6AD129A9"/>
    <w:rsid w:val="6B1418B2"/>
    <w:rsid w:val="6F4828F6"/>
    <w:rsid w:val="6F6F2166"/>
    <w:rsid w:val="6FB11E13"/>
    <w:rsid w:val="703263E1"/>
    <w:rsid w:val="71326183"/>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9B0D9A"/>
    <w:rsid w:val="7BD44D56"/>
    <w:rsid w:val="7BF22106"/>
    <w:rsid w:val="7C0B0E18"/>
    <w:rsid w:val="7D381D49"/>
    <w:rsid w:val="7E51028D"/>
    <w:rsid w:val="7F7E4F24"/>
    <w:rsid w:val="7F8A0A8F"/>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2017-03-25T18:45:00Z</dcterms:created>
  <dc:creator>Administrator</dc:creator>
  <cp:lastModifiedBy>Administrator</cp:lastModifiedBy>
  <dcterms:modified xsi:type="dcterms:W3CDTF">2017-03-25T18:51:21Z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