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 fix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第二，在国际政治中没有永久的朋友，只有永久的利益。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这种传统的智慧找不到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毕业第3个月，第一次出海的同学，失踪于日本海。独子，据留校的同学信息，父母拿到一百万左右。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毕业第11个月，另一名同学从集装箱坠落，残疾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大公司 外企 全球化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9"/>
          <w:szCs w:val="19"/>
          <w:shd w:val="clear" w:fill="FFFFFF"/>
        </w:rPr>
        <w:t>黄靖说，目前西方的政治思潮和经济体制存在着矛盾性，西方的很多大公司及其市场经济都是建立在全球化基础上的，而全球化的利益分配有问题：大公司和大资本得到了全球化的利益，而西方社会中的大多数中产阶级并没有从全球化中得到多少好处，甚至受到伤害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5B55"/>
    <w:rsid w:val="09A82D60"/>
    <w:rsid w:val="150F3C39"/>
    <w:rsid w:val="1D760485"/>
    <w:rsid w:val="43AE1FAD"/>
    <w:rsid w:val="4B495B55"/>
    <w:rsid w:val="6F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2020-08-31T14:33:00Z</dcterms:created>
  <dc:creator>u</dc:creator>
  <cp:lastModifiedBy>u</cp:lastModifiedBy>
  <dcterms:modified xsi:type="dcterms:W3CDTF">2020-09-03T05:52:55Z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