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轻量化 超市采购物资表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1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食物分类表</w:t>
          </w:r>
          <w:r>
            <w:tab/>
          </w:r>
          <w:r>
            <w:fldChar w:fldCharType="begin"/>
          </w:r>
          <w:r>
            <w:instrText xml:space="preserve"> PAGEREF _Toc29903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采购的表</w:t>
          </w:r>
          <w:r>
            <w:tab/>
          </w:r>
          <w:r>
            <w:fldChar w:fldCharType="begin"/>
          </w:r>
          <w:r>
            <w:instrText xml:space="preserve"> PAGEREF _Toc15638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食物按照其原料属性，分为20类</w:t>
          </w:r>
          <w:r>
            <w:tab/>
          </w:r>
          <w:r>
            <w:fldChar w:fldCharType="begin"/>
          </w:r>
          <w:r>
            <w:instrText xml:space="preserve"> PAGEREF _Toc17423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9903"/>
      <w:r>
        <w:rPr>
          <w:rFonts w:hint="eastAsia"/>
          <w:lang w:val="en-US" w:eastAsia="zh-CN"/>
        </w:rPr>
        <w:t>食物分类表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01谷类及其制品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02薯类、淀粉及其制品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03干豆类及其制品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04蔬菜类及其制品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05菌藻类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06水果类及其制品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07坚果、种子类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08畜肉类及其制品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09禽肉类及其制品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10乳类及其制品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11蛋类及其制品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12水产类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13特殊膳食用食品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14休闲食品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5638"/>
      <w:r>
        <w:rPr>
          <w:rFonts w:hint="eastAsia"/>
          <w:lang w:val="en-US" w:eastAsia="zh-CN"/>
        </w:rPr>
        <w:t>采购的表</w:t>
      </w:r>
      <w:bookmarkEnd w:id="1"/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主粮谷物类  燕麦 八宝粥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方便面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米饼 薯片 饼干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煎饼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囊大饼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3饼干、面包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蛋白质 豆类 奶制品 肉干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奶制品 奶酪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奶片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奶粉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调味与维生素素材 茶叶 咖啡 饮料粉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果汁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粉  葡萄干 蘑菇干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海苔、果蔬干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4糖果：包括胶基糖果、糖基糖果、巧克力基糖果等。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果冻 八宝粥</w:t>
      </w:r>
      <w:bookmarkStart w:id="3" w:name="_GoBack"/>
      <w:bookmarkEnd w:id="3"/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bidi w:val="0"/>
      </w:pPr>
      <w:bookmarkStart w:id="2" w:name="_Toc17423"/>
      <w:r>
        <w:rPr>
          <w:rFonts w:hint="eastAsia"/>
        </w:rPr>
        <w:t>食物按照其原料属性，分为20类</w:t>
      </w:r>
      <w:bookmarkEnd w:id="2"/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根据中华人民共和国卫生行业标准WS/T 464-2015—食物成分数据表达规范中规定，食物按照其原料属性，分为20类，每类又分为若干亚类和小类。这20类分别是：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01谷类及其制品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02薯类、淀粉及其制品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03干豆类及其制品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04蔬菜类及其制品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05菌藻类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06水果类及其制品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07坚果、种子类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08畜肉类及其制品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09禽肉类及其制品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10乳类及其制品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11蛋类及其制品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12水产类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13特殊膳食用食品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14休闲食品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15速食食品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16饮料和冷饮类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17含酒精饮料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18油脂类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19调味品类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20其他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veg cat蔬菜分类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59488"/>
    <w:multiLevelType w:val="multilevel"/>
    <w:tmpl w:val="96B59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E9FC468"/>
    <w:multiLevelType w:val="multilevel"/>
    <w:tmpl w:val="2E9FC4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C752C"/>
    <w:rsid w:val="06432BF6"/>
    <w:rsid w:val="06BB5C16"/>
    <w:rsid w:val="07A71F4C"/>
    <w:rsid w:val="08141FAB"/>
    <w:rsid w:val="0FE1302E"/>
    <w:rsid w:val="17C4202B"/>
    <w:rsid w:val="228B6F2E"/>
    <w:rsid w:val="281D044F"/>
    <w:rsid w:val="2911425C"/>
    <w:rsid w:val="2AAC6C47"/>
    <w:rsid w:val="3398547B"/>
    <w:rsid w:val="34557C10"/>
    <w:rsid w:val="38183DBF"/>
    <w:rsid w:val="3A0A0586"/>
    <w:rsid w:val="482B621C"/>
    <w:rsid w:val="49560F9F"/>
    <w:rsid w:val="4A89062A"/>
    <w:rsid w:val="4CEC70E3"/>
    <w:rsid w:val="5CC468A6"/>
    <w:rsid w:val="5CE675B8"/>
    <w:rsid w:val="5D0A1E1C"/>
    <w:rsid w:val="63EC752C"/>
    <w:rsid w:val="652A3810"/>
    <w:rsid w:val="6DF210E9"/>
    <w:rsid w:val="6F6C0053"/>
    <w:rsid w:val="74CA2314"/>
    <w:rsid w:val="77D74737"/>
    <w:rsid w:val="7AA3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2020-09-14T14:50:00Z</dcterms:created>
  <dc:creator>u</dc:creator>
  <cp:lastModifiedBy>u</cp:lastModifiedBy>
  <dcterms:modified xsi:type="dcterms:W3CDTF">2020-09-15T02:39:20Z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