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酋长国农业科技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土豆主粮化   红薯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</w:rPr>
        <w:t>尤其从节水角度来看，推进马铃薯主粮化，利于缓解资源环境压力，实现农业可持续发展。马铃薯生长需水较少，其最低蒸腾系数（需水量）只有350，而小麦、水稻分别是450和500。在年降水量350毫米左右的西北干旱半干旱地区，谷物类作物生长发育困难，而马铃薯不仅能正常生长，还能减少水土流失。农业部去年在河北衡水组织试验，在年降水量500毫米的华北地下水超采区，完全雨养条件下马铃薯亩产仍达到1.8吨。农民种马铃薯省水、省肥、省药，还省劲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  <w:t xml:space="preserve">豆芽 无土栽培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  <w:t xml:space="preserve">养殖业  渔业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  <w:t xml:space="preserve">昆虫主粮化  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昆虫养殖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  <w:t>可以磨成粉来食用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  <w:t xml:space="preserve">牛蛙类 小型动物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培养食用菌的难度要小的多，大的如人工培养蘑菇，小的如人工培养微生物，其环境要求，成熟速度，食物的供给稳定性都会更好一些。而且从转化率来讲并不低。而且微生物的好处是你想要最后的生成物里面有什么成分，都可以通过转基因的微生物来做出来，这在制药方面已经大规模应用很多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AFAFA"/>
        </w:rPr>
        <w:t>，以精英统治、等级制度与和谐为例的政治价值观对中国政治权力运行的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AFC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06820"/>
    <w:rsid w:val="302C17A7"/>
    <w:rsid w:val="311E4E26"/>
    <w:rsid w:val="410D446D"/>
    <w:rsid w:val="491E6510"/>
    <w:rsid w:val="49B00D1C"/>
    <w:rsid w:val="564320E6"/>
    <w:rsid w:val="59586001"/>
    <w:rsid w:val="6A406820"/>
    <w:rsid w:val="6F24293B"/>
    <w:rsid w:val="74E1316F"/>
    <w:rsid w:val="76BD024D"/>
    <w:rsid w:val="7B43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2020-09-10T02:53:00Z</dcterms:created>
  <dc:creator>u</dc:creator>
  <cp:lastModifiedBy>u</cp:lastModifiedBy>
  <dcterms:modified xsi:type="dcterms:W3CDTF">2020-09-10T05:35:56Z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