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laws abt king </w:t>
      </w:r>
      <w:r>
        <w:rPr>
          <w:rFonts w:hint="eastAsia"/>
          <w:lang w:val="en-US" w:eastAsia="zh-CN"/>
        </w:rPr>
        <w:t>涉及到国王等法律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大不敬罪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谋反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诽谤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第二编 具体犯罪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第一章 关于国家安全的犯罪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第一节 侵犯国王、皇后、王位继承人和摄政的犯罪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泰国刑法典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10A6E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39910A6E"/>
    <w:rsid w:val="432E183D"/>
    <w:rsid w:val="44CD63C5"/>
    <w:rsid w:val="45AA4391"/>
    <w:rsid w:val="505F0574"/>
    <w:rsid w:val="5E7815A2"/>
    <w:rsid w:val="5E9E3CB4"/>
    <w:rsid w:val="655B461F"/>
    <w:rsid w:val="695E6526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2020-01-15T09:15:00Z</dcterms:created>
  <dc:creator>ATI老哇的爪子007</dc:creator>
  <cp:lastModifiedBy>ATI老哇的爪子007</cp:lastModifiedBy>
  <dcterms:modified xsi:type="dcterms:W3CDTF">2020-01-15T09:18:12Z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