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账户与支付系统部署说明总结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33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开发工具</w:t>
          </w:r>
          <w:r>
            <w:tab/>
          </w:r>
          <w:r>
            <w:fldChar w:fldCharType="begin"/>
          </w:r>
          <w:r>
            <w:instrText xml:space="preserve"> PAGEREF _Toc30071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技术框架</w:t>
          </w:r>
          <w:r>
            <w:tab/>
          </w:r>
          <w:r>
            <w:fldChar w:fldCharType="begin"/>
          </w:r>
          <w:r>
            <w:instrText xml:space="preserve"> PAGEREF _Toc17332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系统运行环境</w:t>
          </w:r>
          <w:r>
            <w:tab/>
          </w:r>
          <w:r>
            <w:fldChar w:fldCharType="begin"/>
          </w:r>
          <w:r>
            <w:instrText xml:space="preserve"> PAGEREF _Toc15583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安装部署</w:t>
          </w:r>
          <w:r>
            <w:tab/>
          </w:r>
          <w:r>
            <w:fldChar w:fldCharType="begin"/>
          </w:r>
          <w:r>
            <w:instrText xml:space="preserve"> PAGEREF _Toc15077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20"/>
          <w:szCs w:val="20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支付系统搭建与部署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CCCC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2018-11-30 00:52:16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14"/>
          <w:szCs w:val="14"/>
        </w:rPr>
      </w:pPr>
      <w:r>
        <w:rPr>
          <w:rFonts w:ascii="iconfont" w:hAnsi="iconfont" w:eastAsia="iconfont" w:cs="iconfont"/>
          <w:i w:val="0"/>
          <w:caps w:val="0"/>
          <w:color w:val="CCCCCC"/>
          <w:spacing w:val="0"/>
          <w:sz w:val="20"/>
          <w:szCs w:val="20"/>
          <w:bdr w:val="none" w:color="auto" w:sz="0" w:space="0"/>
          <w:shd w:val="clear" w:fill="FFFFFF"/>
        </w:rPr>
        <w:t></w:t>
      </w:r>
      <w:r>
        <w:rPr>
          <w:rFonts w:hint="default" w:ascii="Tahoma" w:hAnsi="Tahoma" w:eastAsia="Tahoma" w:cs="Tahoma"/>
          <w:i w:val="0"/>
          <w:caps w:val="0"/>
          <w:color w:val="CCCCCC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 70418 | </w:t>
      </w:r>
      <w:r>
        <w:rPr>
          <w:rFonts w:hint="default" w:ascii="iconfont" w:hAnsi="iconfont" w:eastAsia="iconfont" w:cs="iconfont"/>
          <w:i w:val="0"/>
          <w:caps w:val="0"/>
          <w:color w:val="CCCCCC"/>
          <w:spacing w:val="0"/>
          <w:sz w:val="20"/>
          <w:szCs w:val="20"/>
          <w:bdr w:val="none" w:color="auto" w:sz="0" w:space="0"/>
          <w:shd w:val="clear" w:fill="FFFFFF"/>
        </w:rPr>
        <w:t></w:t>
      </w:r>
      <w:r>
        <w:rPr>
          <w:rFonts w:hint="default" w:ascii="Tahoma" w:hAnsi="Tahoma" w:eastAsia="Tahoma" w:cs="Tahoma"/>
          <w:i w:val="0"/>
          <w:caps w:val="0"/>
          <w:color w:val="CCCCCC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 29 | </w:t>
      </w:r>
      <w:r>
        <w:rPr>
          <w:rFonts w:hint="default" w:ascii="iconfont" w:hAnsi="iconfont" w:eastAsia="iconfont" w:cs="iconfont"/>
          <w:i w:val="0"/>
          <w:caps w:val="0"/>
          <w:color w:val="CCCCCC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</w:t>
      </w:r>
      <w:r>
        <w:rPr>
          <w:rFonts w:hint="default" w:ascii="Tahoma" w:hAnsi="Tahoma" w:eastAsia="Tahoma" w:cs="Tahoma"/>
          <w:i w:val="0"/>
          <w:caps w:val="0"/>
          <w:color w:val="CCCCCC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 9</w:t>
      </w:r>
    </w:p>
    <w:p>
      <w:pPr>
        <w:pStyle w:val="2"/>
        <w:bidi w:val="0"/>
      </w:pPr>
      <w:bookmarkStart w:id="0" w:name="_Toc30071"/>
      <w:r>
        <w:rPr>
          <w:rFonts w:hint="default"/>
        </w:rPr>
        <w:t>1. 开发工具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eclipse、git或svn、maven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</w:p>
    <w:p>
      <w:pPr>
        <w:pStyle w:val="2"/>
        <w:bidi w:val="0"/>
      </w:pPr>
      <w:bookmarkStart w:id="1" w:name="_Toc17332"/>
      <w:r>
        <w:rPr>
          <w:rFonts w:hint="default"/>
        </w:rPr>
        <w:t>2. 技术框架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核心框架：Spring Framework 3.2.4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持久化框架：MyBatis 3.4.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安全框架：Apache Shiro 1.2.5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日志管理：SLF4J 1.7.21、Log4j 1.2.17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数据库连接池：Druid 1.0.19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消息总线：ActiveMQ 5.11.4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工具包：fastjson 1.2.11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jQuery 框架：DWZ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</w:p>
    <w:p>
      <w:pPr>
        <w:pStyle w:val="2"/>
        <w:bidi w:val="0"/>
      </w:pPr>
      <w:bookmarkStart w:id="2" w:name="_Toc15583"/>
      <w:r>
        <w:rPr>
          <w:rFonts w:hint="default"/>
        </w:rPr>
        <w:t>3. 系统运行环境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3.1 软件环境：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JDK1.7或以上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apache-tomcat-7.0或其他容器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ActiveMQ 5.11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3.2 硬件环境(最小配置)：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CPU：1核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内存：1G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</w:p>
    <w:p>
      <w:pPr>
        <w:pStyle w:val="2"/>
        <w:bidi w:val="0"/>
      </w:pPr>
      <w:bookmarkStart w:id="3" w:name="_Toc15077"/>
      <w:r>
        <w:rPr>
          <w:rFonts w:hint="default"/>
        </w:rPr>
        <w:t>4. 安装部署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4.1 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运营管理系统登录账号密码：admin/123456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商户后台系统登录账号密码：在boss运营后台添加用户时录入手机和密码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roncoo-pay-common-core：公共类工程，不用单独部署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roncoo-pay-service：核心业务类工程，不用单独部署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roncoo-pay-app-notify：通知应用工程，独立jar方式启动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roncoo-pay-app-reconciliation：对账应用工程，独立jar方式启动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roncoo-pay-app-settlement：结算应用工程，独立jar方式启动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roncoo-pay-web-boss：运营管理后台，部署tomcat启动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roncoo-pay-web-gateway：支付网关工程，部署tomcat启动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roncoo-pay-web-sample-shop：模拟商城工程，部署tomcat启动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roncoo-pay-web-merchant：商户后台工程，部署tomcat启动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4.2 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4.2.1 创建数据库，导入初始化脚本《database.sql》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4.2.2 修改系统数据库连接roncoo-pay-service/src/main/resources/jdbc.properties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4.2.3 从roncoo-pay-service工程的lib文件夹下加载支付宝支付sdk“alipay-sdk-java20151021120052.jar”和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“alipay-trade-sdk.jar”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4.2.4 下载ActiveMQ 5.11并安装，修改MQ配置roncoo-pay-service/src/main/resources/ mq_config.properties，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              以独立jar方式启动roncoo-pay-app-notify工程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            （注：商户通知是独立的一块，不影响支付及其他功能，可以省略该步骤）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4.2.5 以独立jar方式启动roncoo-pay-app-settlement工程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4.2.6 修改对账文件下载后存放地址roncoo-pay-service/src/main/resources/reconciliation_config.properties，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              以独立jar方式启动roncoo-pay-app-reconciliation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4.2.7 添加支付宝和微信测试账号信息roncoo-pay-service/src/main/resources/alipay_config.properties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              和weixinpay_config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    （注：不需要本地测试支付，可以省略该步骤）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4.2.8 通过mvn install命令打包编译系统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 w:line="260" w:lineRule="atLeast"/>
        <w:ind w:left="0" w:right="0"/>
        <w:textAlignment w:val="baseline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       4.2.9 拷贝roncoo-pay-web-boss.war、roncoo-pay-web-gateway.war、roncoo-pay-web-sample-shop.war、roncoo-pay-web-merchant.war至tomcat启动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D120C"/>
    <w:rsid w:val="1E6E21F4"/>
    <w:rsid w:val="2ABE5FFF"/>
    <w:rsid w:val="402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2019-11-20T08:38:00Z</dcterms:created>
  <dc:creator>ATI老哇的爪子007</dc:creator>
  <cp:lastModifiedBy>ATI老哇的爪子007</cp:lastModifiedBy>
  <dcterms:modified xsi:type="dcterms:W3CDTF">2019-11-20T08:51:46Z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