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分期理论 attilax总结</w:t>
      </w: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Preface前言</w:t>
      </w:r>
      <w:r>
        <w:rPr>
          <w:rFonts w:hint="eastAsia"/>
          <w:lang w:val="en-US" w:eastAsia="zh-CN"/>
        </w:rPr>
        <w:t xml:space="preserve"> 序言</w:t>
      </w:r>
      <w:r>
        <w:tab/>
      </w:r>
      <w:r>
        <w:fldChar w:fldCharType="begin"/>
      </w:r>
      <w:r>
        <w:instrText xml:space="preserve"> PAGEREF _Toc23142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xx是什么</w:t>
      </w:r>
      <w:r>
        <w:tab/>
      </w:r>
      <w:r>
        <w:fldChar w:fldCharType="begin"/>
      </w:r>
      <w:r>
        <w:instrText xml:space="preserve"> PAGEREF _Toc1290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Xx原理</w:t>
      </w:r>
      <w:r>
        <w:tab/>
      </w:r>
      <w:r>
        <w:fldChar w:fldCharType="begin"/>
      </w:r>
      <w:r>
        <w:instrText xml:space="preserve"> PAGEREF _Toc23124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eastAsia="zh-CN"/>
        </w:rPr>
        <w:t>分期</w:t>
      </w:r>
      <w:r>
        <w:t>发展历史</w:t>
      </w:r>
      <w:r>
        <w:tab/>
      </w:r>
      <w:r>
        <w:fldChar w:fldCharType="begin"/>
      </w:r>
      <w:r>
        <w:instrText xml:space="preserve"> PAGEREF _Toc10368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val="en-US" w:eastAsia="zh-CN"/>
        </w:rPr>
        <w:t>xx</w:t>
      </w:r>
      <w:r>
        <w:rPr>
          <w:rFonts w:hint="eastAsia"/>
          <w:lang w:eastAsia="zh-CN"/>
        </w:rPr>
        <w:t>的优点</w:t>
      </w:r>
      <w:r>
        <w:tab/>
      </w:r>
      <w:r>
        <w:fldChar w:fldCharType="begin"/>
      </w:r>
      <w:r>
        <w:instrText xml:space="preserve"> PAGEREF _Toc10961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分期种类</w:t>
      </w:r>
      <w:r>
        <w:tab/>
      </w:r>
      <w:r>
        <w:fldChar w:fldCharType="begin"/>
      </w:r>
      <w:r>
        <w:instrText xml:space="preserve"> PAGEREF _Toc6288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按照性质分 （订单分期账单分期现金分期）</w:t>
      </w:r>
      <w:r>
        <w:tab/>
      </w:r>
      <w:r>
        <w:fldChar w:fldCharType="begin"/>
      </w:r>
      <w:r>
        <w:instrText xml:space="preserve"> PAGEREF _Toc32687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按照</w:t>
      </w:r>
      <w:r>
        <w:tab/>
      </w:r>
      <w:r>
        <w:fldChar w:fldCharType="begin"/>
      </w:r>
      <w:r>
        <w:instrText xml:space="preserve"> PAGEREF _Toc19948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r>
        <w:tab/>
      </w:r>
      <w:r>
        <w:fldChar w:fldCharType="begin"/>
      </w:r>
      <w:r>
        <w:instrText xml:space="preserve"> PAGEREF _Toc23133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Part1</w:t>
      </w:r>
      <w:r>
        <w:tab/>
      </w:r>
      <w:r>
        <w:fldChar w:fldCharType="begin"/>
      </w:r>
      <w:r>
        <w:instrText xml:space="preserve"> PAGEREF _Toc2495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Part2</w:t>
      </w:r>
      <w:r>
        <w:tab/>
      </w:r>
      <w:r>
        <w:fldChar w:fldCharType="begin"/>
      </w:r>
      <w:r>
        <w:instrText xml:space="preserve"> PAGEREF _Toc3815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市场厂商</w:t>
      </w:r>
      <w:r>
        <w:tab/>
      </w:r>
      <w:r>
        <w:fldChar w:fldCharType="begin"/>
      </w:r>
      <w:r>
        <w:instrText xml:space="preserve"> PAGEREF _Toc20785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t>成功案例</w:t>
      </w:r>
      <w:r>
        <w:tab/>
      </w:r>
      <w:r>
        <w:fldChar w:fldCharType="begin"/>
      </w:r>
      <w:r>
        <w:instrText xml:space="preserve"> PAGEREF _Toc12796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实用场景</w:t>
      </w:r>
      <w:r>
        <w:tab/>
      </w:r>
      <w:r>
        <w:fldChar w:fldCharType="begin"/>
      </w:r>
      <w:r>
        <w:instrText xml:space="preserve"> PAGEREF _Toc466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类似模式的区别</w:t>
      </w:r>
      <w:r>
        <w:tab/>
      </w:r>
      <w:r>
        <w:fldChar w:fldCharType="begin"/>
      </w:r>
      <w:r>
        <w:instrText xml:space="preserve"> PAGEREF _Toc16415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分期付款和按揭付款的区别</w:t>
      </w:r>
      <w:r>
        <w:tab/>
      </w:r>
      <w:r>
        <w:fldChar w:fldCharType="begin"/>
      </w:r>
      <w:r>
        <w:instrText xml:space="preserve"> PAGEREF _Toc11905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未来发展趋势</w:t>
      </w:r>
      <w:r>
        <w:tab/>
      </w:r>
      <w:r>
        <w:fldChar w:fldCharType="begin"/>
      </w:r>
      <w:r>
        <w:instrText xml:space="preserve"> PAGEREF _Toc3950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</w:rPr>
        <w:t>后记</w:t>
      </w:r>
      <w:r>
        <w:tab/>
      </w:r>
      <w:r>
        <w:fldChar w:fldCharType="begin"/>
      </w:r>
      <w:r>
        <w:instrText xml:space="preserve"> PAGEREF _Toc12443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_Toc26795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About author关于作者</w:t>
      </w:r>
      <w:r>
        <w:tab/>
      </w:r>
      <w:r>
        <w:fldChar w:fldCharType="begin"/>
      </w:r>
      <w:r>
        <w:instrText xml:space="preserve"> PAGEREF _Toc30566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3142"/>
      <w:r>
        <w:rPr>
          <w:rFonts w:hint="default"/>
          <w:lang w:val="en-US" w:eastAsia="zh-CN"/>
        </w:rPr>
        <w:t>Preface前言</w:t>
      </w:r>
      <w:r>
        <w:rPr>
          <w:rFonts w:hint="eastAsia"/>
          <w:lang w:val="en-US" w:eastAsia="zh-CN"/>
        </w:rPr>
        <w:t xml:space="preserve"> 序言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Capt1.  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290"/>
      <w:r>
        <w:rPr>
          <w:rFonts w:hint="eastAsia"/>
          <w:lang w:val="en-US" w:eastAsia="zh-CN"/>
        </w:rPr>
        <w:t>xx是什么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124"/>
      <w:r>
        <w:rPr>
          <w:rFonts w:hint="eastAsia"/>
          <w:lang w:val="en-US" w:eastAsia="zh-CN"/>
        </w:rPr>
        <w:t>Xx原理</w:t>
      </w:r>
      <w:bookmarkEnd w:id="2"/>
    </w:p>
    <w:p>
      <w:pPr>
        <w:pStyle w:val="2"/>
      </w:pPr>
      <w:bookmarkStart w:id="3" w:name="_Toc10368"/>
      <w:r>
        <w:rPr>
          <w:rFonts w:hint="eastAsia"/>
          <w:lang w:eastAsia="zh-CN"/>
        </w:rPr>
        <w:t>分期</w:t>
      </w:r>
      <w:r>
        <w:t>发展历史</w:t>
      </w:r>
      <w:bookmarkEnd w:id="3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"https://baike.baidu.com/item/%E5%88%86%E6%9C%9F%E4%BB%98%E6%AC%BE/javascript:;"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是在第二次世界大战以后发展起来的。开始时只局限于一般日用商品或劳务的购买。后来，随着生产力的迅速发展，工、农业生产的规模日益扩大，所需费用增大，加之银行信用的发展，分期付款的领域扩大到企业购买大型机器设备和原材料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伴随着中国金融服务的完善以及人们消费习惯的改变，在国外流行的分期付款消费被引入国内，并迅速得到国内消费者的认可。采用分期付款方式消费的通常是目前支付能力较差，但有消费需求的年轻人。其消费的产品通常是笔记本电脑、手机、数码产品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分期付款方式通常由银行和分期付款供应商联合提供。银行为消费者提供相当于所购物品金额的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"https://baike.baidu.com/item/%E4%B8%AA%E4%BA%BA%E6%B6%88%E8%B4%B9" \t "https://baike.baidu.com/item/%E5%88%86%E6%9C%9F%E4%BB%98%E6%AC%BE/_blank"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个人消费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贷款，消费者用贷款向供应商支付货款，同时供应商为消费者提供担保，承担不可撤销的债务连带责任。使用分期付款方式消费的年轻人通常被称为“分期族”。</w:t>
      </w:r>
    </w:p>
    <w:p>
      <w:pPr>
        <w:pStyle w:val="2"/>
        <w:rPr>
          <w:rFonts w:hint="eastAsia"/>
          <w:lang w:eastAsia="zh-CN"/>
        </w:rPr>
      </w:pPr>
      <w:bookmarkStart w:id="4" w:name="_Toc10961"/>
      <w:r>
        <w:rPr>
          <w:rFonts w:hint="eastAsia"/>
          <w:lang w:val="en-US" w:eastAsia="zh-CN"/>
        </w:rPr>
        <w:t>xx</w:t>
      </w:r>
      <w:r>
        <w:rPr>
          <w:rFonts w:hint="eastAsia"/>
          <w:lang w:eastAsia="zh-CN"/>
        </w:rPr>
        <w:t>的优点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5" w:name="_Toc6288"/>
      <w:r>
        <w:rPr>
          <w:rFonts w:hint="eastAsia"/>
          <w:lang w:val="en-US" w:eastAsia="zh-CN"/>
        </w:rPr>
        <w:t>分期种类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2687"/>
      <w:r>
        <w:rPr>
          <w:rFonts w:hint="eastAsia"/>
          <w:lang w:val="en-US" w:eastAsia="zh-CN"/>
        </w:rPr>
        <w:t>按照性质分 （订单分期账单分期现金分期）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948"/>
      <w:r>
        <w:rPr>
          <w:rFonts w:hint="eastAsia"/>
          <w:lang w:val="en-US" w:eastAsia="zh-CN"/>
        </w:rPr>
        <w:t>按照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8" w:name="_Toc23133"/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95"/>
      <w:r>
        <w:rPr>
          <w:rFonts w:hint="eastAsia"/>
          <w:lang w:val="en-US" w:eastAsia="zh-CN"/>
        </w:rPr>
        <w:t>Part1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815"/>
      <w:r>
        <w:rPr>
          <w:rFonts w:hint="eastAsia"/>
          <w:lang w:val="en-US" w:eastAsia="zh-CN"/>
        </w:rPr>
        <w:t>Part2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1" w:name="_Toc20785"/>
      <w:r>
        <w:rPr>
          <w:rFonts w:hint="eastAsia"/>
          <w:lang w:val="en-US" w:eastAsia="zh-CN"/>
        </w:rPr>
        <w:t>市场厂商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12796"/>
      <w:r>
        <w:t>成功案例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466"/>
      <w:r>
        <w:rPr>
          <w:rFonts w:hint="eastAsia"/>
          <w:lang w:val="en-US" w:eastAsia="zh-CN"/>
        </w:rPr>
        <w:t>实用场景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035"/>
      <w:r>
        <w:rPr>
          <w:rFonts w:hint="eastAsia"/>
          <w:lang w:val="en-US" w:eastAsia="zh-CN"/>
        </w:rPr>
        <w:t>最佳实践与注意要点</w:t>
      </w:r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处理策略</w:t>
      </w:r>
      <w:bookmarkStart w:id="25" w:name="_GoBack"/>
      <w:bookmarkEnd w:id="25"/>
    </w:p>
    <w:p>
      <w:pPr>
        <w:pStyle w:val="2"/>
        <w:rPr>
          <w:rFonts w:hint="eastAsia"/>
          <w:lang w:val="en-US" w:eastAsia="zh-CN"/>
        </w:rPr>
      </w:pPr>
      <w:bookmarkStart w:id="15" w:name="_Toc16415"/>
      <w:r>
        <w:rPr>
          <w:rFonts w:hint="eastAsia"/>
          <w:lang w:val="en-US" w:eastAsia="zh-CN"/>
        </w:rPr>
        <w:t>类似模式的区别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1905"/>
      <w:r>
        <w:rPr>
          <w:rFonts w:hint="eastAsia"/>
          <w:lang w:val="en-US" w:eastAsia="zh-CN"/>
        </w:rPr>
        <w:t>分期付款和按揭付款的区别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3950"/>
      <w:r>
        <w:rPr>
          <w:rFonts w:hint="eastAsia"/>
          <w:lang w:val="en-US" w:eastAsia="zh-CN"/>
        </w:rPr>
        <w:t>未来发展趋势</w:t>
      </w:r>
      <w:bookmarkEnd w:id="17"/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18" w:name="_Toc12443"/>
      <w:r>
        <w:rPr>
          <w:rFonts w:hint="eastAsia"/>
        </w:rPr>
        <w:t>后记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26795"/>
      <w:r>
        <w:rPr>
          <w:rFonts w:hint="eastAsia"/>
          <w:lang w:eastAsia="zh-CN"/>
        </w:rPr>
        <w:t>参考资料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分期付款和按揭付款的区别_百度知道.mhtml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9053"/>
      <w:bookmarkStart w:id="21" w:name="_Toc17990"/>
      <w:bookmarkStart w:id="22" w:name="_Toc8341"/>
      <w:bookmarkStart w:id="23" w:name="_Toc30566"/>
      <w:r>
        <w:rPr>
          <w:rFonts w:hint="eastAsia"/>
          <w:lang w:val="en-US" w:eastAsia="zh-CN"/>
        </w:rPr>
        <w:t>About author关于作者</w:t>
      </w:r>
      <w:bookmarkEnd w:id="20"/>
      <w:bookmarkEnd w:id="21"/>
      <w:bookmarkEnd w:id="22"/>
      <w:bookmarkEnd w:id="23"/>
    </w:p>
    <w:p>
      <w:pPr>
        <w:rPr>
          <w:rFonts w:hint="eastAsia"/>
        </w:rPr>
      </w:pPr>
      <w:bookmarkStart w:id="24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4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5CAE"/>
    <w:multiLevelType w:val="multilevel"/>
    <w:tmpl w:val="59A85CA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84143"/>
    <w:rsid w:val="012232B5"/>
    <w:rsid w:val="016C2CFE"/>
    <w:rsid w:val="03893273"/>
    <w:rsid w:val="03A0773F"/>
    <w:rsid w:val="05464576"/>
    <w:rsid w:val="064812CE"/>
    <w:rsid w:val="088D064D"/>
    <w:rsid w:val="0A9C68B2"/>
    <w:rsid w:val="0CC52D5C"/>
    <w:rsid w:val="0CCA2E29"/>
    <w:rsid w:val="0DB1260B"/>
    <w:rsid w:val="0E140DFD"/>
    <w:rsid w:val="0EC346E9"/>
    <w:rsid w:val="0F000545"/>
    <w:rsid w:val="0F75427D"/>
    <w:rsid w:val="10294368"/>
    <w:rsid w:val="10D85669"/>
    <w:rsid w:val="128D482E"/>
    <w:rsid w:val="12D00171"/>
    <w:rsid w:val="14BC481D"/>
    <w:rsid w:val="15931E68"/>
    <w:rsid w:val="161C0539"/>
    <w:rsid w:val="16373B6D"/>
    <w:rsid w:val="16463FC4"/>
    <w:rsid w:val="16BC32AD"/>
    <w:rsid w:val="17662BEB"/>
    <w:rsid w:val="1AAA3C52"/>
    <w:rsid w:val="1D5F17F0"/>
    <w:rsid w:val="1DD908A2"/>
    <w:rsid w:val="23DD71F4"/>
    <w:rsid w:val="26604938"/>
    <w:rsid w:val="26884143"/>
    <w:rsid w:val="26DA18AD"/>
    <w:rsid w:val="26E57C1D"/>
    <w:rsid w:val="27765A20"/>
    <w:rsid w:val="29133BA5"/>
    <w:rsid w:val="2AA74706"/>
    <w:rsid w:val="2AED1055"/>
    <w:rsid w:val="2ECA63F1"/>
    <w:rsid w:val="2EF531B1"/>
    <w:rsid w:val="2F271039"/>
    <w:rsid w:val="2FE119D3"/>
    <w:rsid w:val="30450822"/>
    <w:rsid w:val="30496CBC"/>
    <w:rsid w:val="30587E4D"/>
    <w:rsid w:val="31320854"/>
    <w:rsid w:val="31812784"/>
    <w:rsid w:val="331B3E47"/>
    <w:rsid w:val="338E3A2A"/>
    <w:rsid w:val="33DE0537"/>
    <w:rsid w:val="353B5B63"/>
    <w:rsid w:val="36A536C2"/>
    <w:rsid w:val="36D36F2D"/>
    <w:rsid w:val="385F64AA"/>
    <w:rsid w:val="3B5E1D15"/>
    <w:rsid w:val="3CBF064E"/>
    <w:rsid w:val="3E51781A"/>
    <w:rsid w:val="3F2A6962"/>
    <w:rsid w:val="41551F15"/>
    <w:rsid w:val="4343346B"/>
    <w:rsid w:val="46492BCE"/>
    <w:rsid w:val="467967BC"/>
    <w:rsid w:val="483F349D"/>
    <w:rsid w:val="4C2658E1"/>
    <w:rsid w:val="4D273F3D"/>
    <w:rsid w:val="4DE45C7E"/>
    <w:rsid w:val="4EA47040"/>
    <w:rsid w:val="4EF60FE1"/>
    <w:rsid w:val="4F2C63D7"/>
    <w:rsid w:val="4F3D370F"/>
    <w:rsid w:val="4FA530F8"/>
    <w:rsid w:val="51CC3F5D"/>
    <w:rsid w:val="52E34CE0"/>
    <w:rsid w:val="53035922"/>
    <w:rsid w:val="53100F08"/>
    <w:rsid w:val="54B1643B"/>
    <w:rsid w:val="57B023F9"/>
    <w:rsid w:val="5A896558"/>
    <w:rsid w:val="5AF42D71"/>
    <w:rsid w:val="5CB922E7"/>
    <w:rsid w:val="5DFE4D44"/>
    <w:rsid w:val="623A18BC"/>
    <w:rsid w:val="68182339"/>
    <w:rsid w:val="68D776F4"/>
    <w:rsid w:val="6973760C"/>
    <w:rsid w:val="69E832D9"/>
    <w:rsid w:val="69EA135E"/>
    <w:rsid w:val="6A4414BA"/>
    <w:rsid w:val="6B826BC6"/>
    <w:rsid w:val="6BE04BFD"/>
    <w:rsid w:val="6D5F0283"/>
    <w:rsid w:val="6DF3447F"/>
    <w:rsid w:val="6FE7596D"/>
    <w:rsid w:val="71FD3E37"/>
    <w:rsid w:val="75FA4625"/>
    <w:rsid w:val="77B9556C"/>
    <w:rsid w:val="7B466B4B"/>
    <w:rsid w:val="7B847043"/>
    <w:rsid w:val="7DEA4C63"/>
    <w:rsid w:val="7ED64E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2017-08-31T16:22:00Z</dcterms:created>
  <dc:creator>Administrator</dc:creator>
  <cp:lastModifiedBy>ATI老哇的爪子007</cp:lastModifiedBy>
  <dcterms:modified xsi:type="dcterms:W3CDTF">2018-02-02T12:21:57Z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