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中国的问题和风险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，但在习近平的北京，它已升格为国教。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C9D7F1"/>
        </w:rPr>
        <w:t>中国领导人尽管信心满满，但到处可见危险：不稳定的经济，人口老龄化，香港发生的阿拉伯之春式叛乱，种族叛乱。</w:t>
      </w:r>
      <w:r>
        <w:rPr>
          <w:rFonts w:hint="default" w:ascii="Times New Roman" w:hAnsi="Times New Roman" w:eastAsia="Times New Roman" w:cs="Times New Roman"/>
          <w:i w:val="0"/>
          <w:caps w:val="0"/>
          <w:color w:val="000000"/>
          <w:spacing w:val="0"/>
          <w:sz w:val="31"/>
          <w:szCs w:val="31"/>
          <w:shd w:val="clear" w:fill="FFFFFF"/>
        </w:rPr>
        <w:t>去年，李克强总理在全国人民代表大会上的讲话中提到“风险”二十四次，是三年前同期的两倍。2018年，中国超越苏联成为历史上最长寿的共产主义国家，这一殊荣助长了自豪感和偏执狂。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94F73"/>
    <w:rsid w:val="2FE9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2020-05-02T16:13:00Z</dcterms:created>
  <dc:creator>Administrator</dc:creator>
  <cp:lastModifiedBy>Administrator</cp:lastModifiedBy>
  <dcterms:modified xsi:type="dcterms:W3CDTF">2020-05-02T16:13:36Z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