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学习方法的艺术 艾提拉著作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  补充 艾龙 著 attilax著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8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5" w:name="_GoBack"/>
          <w:bookmarkEnd w:id="2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1. Atitit 学习的方法 attilax总结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_Toc4634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1.1. 2. 基于学习策略的分类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2（机械 示教 演绎 类比 解释 归纳学习法）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_Toc29894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1.2. 3. 基于所获取知识的表示形式分类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4（树 图 网络 表格 dsl等）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_Toc31959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1.3. 4. 按应用领域分类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_Toc18709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1.4. 5. 综合分类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 归纳学习 分析学习 类比学习 联接学习 增强学习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_Toc6395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1.5. 6. 学习形式分类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8 监督学习 vs 非监督学习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_Toc9622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1.6. 被动学习 vs 主动学习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_Toc31820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1.7. 交叉学习vs 独自学习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_Toc28230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体系化vs 碎片化学习法</w:t>
          </w:r>
          <w:r>
            <w:tab/>
          </w:r>
          <w:r>
            <w:fldChar w:fldCharType="begin"/>
          </w:r>
          <w:r>
            <w:instrText xml:space="preserve"> PAGEREF _Toc13048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2. otehr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_Toc24113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right" w:pos="92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2.1. 强化学习（Reinforcement Learning）和深度学习（Deep Learning），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_Toc21772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2.2. 而迁移学习（Transfer Learning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_Toc6556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2.3. 兴趣以点带面学习法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_Toc22647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2.4. 加强联系学习法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_Toc7792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2.5. 1.1　在比较中学习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_Toc3157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2.6. 1.2　在历史中学习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_Toc27881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先易后难的顺序排序</w:t>
          </w:r>
          <w:r>
            <w:tab/>
          </w:r>
          <w:r>
            <w:fldChar w:fldCharType="begin"/>
          </w:r>
          <w:r>
            <w:instrText xml:space="preserve"> PAGEREF _Toc20306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Atitit 知识挖掘与加工</w:t>
          </w:r>
          <w:r>
            <w:tab/>
          </w:r>
          <w:r>
            <w:fldChar w:fldCharType="begin"/>
          </w:r>
          <w:r>
            <w:instrText xml:space="preserve"> PAGEREF _Toc21211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Atitit 学习方法 -------体系化学习方法</w:t>
          </w:r>
          <w:r>
            <w:tab/>
          </w:r>
          <w:r>
            <w:fldChar w:fldCharType="begin"/>
          </w:r>
          <w:r>
            <w:instrText xml:space="preserve"> PAGEREF _Toc25187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pacing w:val="15"/>
              <w:shd w:val="clear" w:fill="FAFAFA"/>
              <w:lang w:val="en-US" w:eastAsia="zh-CN"/>
            </w:rPr>
            <w:t xml:space="preserve">2.10. </w:t>
          </w:r>
          <w:r>
            <w:rPr>
              <w:rFonts w:hint="eastAsia" w:ascii="宋体" w:hAnsi="宋体" w:eastAsia="宋体" w:cs="宋体"/>
              <w:spacing w:val="30"/>
              <w:shd w:val="clear" w:fill="FAFAFA"/>
            </w:rPr>
            <w:t>艺术</w:t>
          </w:r>
          <w:r>
            <w:rPr>
              <w:rFonts w:hint="eastAsia" w:ascii="宋体" w:hAnsi="宋体" w:eastAsia="宋体" w:cs="宋体"/>
              <w:spacing w:val="30"/>
              <w:shd w:val="clear" w:fill="FAFAFA"/>
              <w:lang w:eastAsia="zh-CN"/>
            </w:rPr>
            <w:t>化</w:t>
          </w:r>
          <w:r>
            <w:rPr>
              <w:rFonts w:hint="eastAsia" w:ascii="宋体" w:hAnsi="宋体" w:eastAsia="宋体" w:cs="宋体"/>
              <w:spacing w:val="30"/>
              <w:shd w:val="clear" w:fill="FAFAFA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spacing w:val="15"/>
              <w:shd w:val="clear" w:fill="FAFAFA"/>
            </w:rPr>
            <w:t>原理动画</w:t>
          </w:r>
          <w:r>
            <w:tab/>
          </w:r>
          <w:r>
            <w:fldChar w:fldCharType="begin"/>
          </w:r>
          <w:r>
            <w:instrText xml:space="preserve"> PAGEREF _Toc22030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知识的呈现方式</w:t>
          </w:r>
          <w:r>
            <w:tab/>
          </w:r>
          <w:r>
            <w:fldChar w:fldCharType="begin"/>
          </w:r>
          <w:r>
            <w:instrText xml:space="preserve"> PAGEREF _Toc565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思维结构化</w:t>
          </w:r>
          <w:r>
            <w:tab/>
          </w:r>
          <w:r>
            <w:fldChar w:fldCharType="begin"/>
          </w:r>
          <w:r>
            <w:instrText xml:space="preserve"> PAGEREF _Toc24186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知识可视化</w:t>
          </w:r>
          <w:r>
            <w:tab/>
          </w:r>
          <w:r>
            <w:fldChar w:fldCharType="begin"/>
          </w:r>
          <w:r>
            <w:instrText xml:space="preserve"> PAGEREF _Toc1263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心理学的“认知负荷理论</w:t>
          </w:r>
          <w:r>
            <w:tab/>
          </w:r>
          <w:r>
            <w:fldChar w:fldCharType="begin"/>
          </w:r>
          <w:r>
            <w:instrText xml:space="preserve"> PAGEREF _Toc1903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_Toc26439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634"/>
      <w:r>
        <w:rPr>
          <w:rFonts w:hint="eastAsia"/>
          <w:lang w:val="en-US" w:eastAsia="zh-CN"/>
        </w:rPr>
        <w:t>1. Atitit 学习的方法 attilax总结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894"/>
      <w:r>
        <w:rPr>
          <w:rFonts w:hint="eastAsia"/>
          <w:lang w:val="en-US" w:eastAsia="zh-CN"/>
        </w:rPr>
        <w:t>1.1. 2. 基于学习策略的分类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2（机械 示教 演绎 类比 解释 归纳学习法）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959"/>
      <w:r>
        <w:rPr>
          <w:rFonts w:hint="eastAsia"/>
          <w:lang w:val="en-US" w:eastAsia="zh-CN"/>
        </w:rPr>
        <w:t>1.2. 3. 基于所获取知识的表示形式分类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4（树 图 网络 表格 dsl等）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709"/>
      <w:r>
        <w:rPr>
          <w:rFonts w:hint="eastAsia"/>
          <w:lang w:val="en-US" w:eastAsia="zh-CN"/>
        </w:rPr>
        <w:t>1.3. 4. 按应用领域分类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395"/>
      <w:r>
        <w:rPr>
          <w:rFonts w:hint="eastAsia"/>
          <w:lang w:val="en-US" w:eastAsia="zh-CN"/>
        </w:rPr>
        <w:t>1.4. 5. 综合分类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归纳学习 分析学习 类比学习 联接学习 增强学习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622"/>
      <w:r>
        <w:rPr>
          <w:rFonts w:hint="eastAsia"/>
          <w:lang w:val="en-US" w:eastAsia="zh-CN"/>
        </w:rPr>
        <w:t>1.5. 6. 学习形式分类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监督学习 vs 非监督学习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820"/>
      <w:r>
        <w:rPr>
          <w:rFonts w:hint="eastAsia"/>
          <w:lang w:val="en-US" w:eastAsia="zh-CN"/>
        </w:rPr>
        <w:t>1.6. 被动学习 vs 主动学习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8230"/>
      <w:r>
        <w:rPr>
          <w:rFonts w:hint="eastAsia"/>
          <w:lang w:val="en-US" w:eastAsia="zh-CN"/>
        </w:rPr>
        <w:t>1.7. 交叉学习vs 独自学习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048"/>
      <w:r>
        <w:rPr>
          <w:rFonts w:hint="eastAsia"/>
          <w:lang w:val="en-US" w:eastAsia="zh-CN"/>
        </w:rPr>
        <w:t>体系化vs 碎片化学习法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4113"/>
      <w:r>
        <w:rPr>
          <w:rFonts w:hint="eastAsia"/>
          <w:lang w:val="en-US" w:eastAsia="zh-CN"/>
        </w:rPr>
        <w:t>2. otehr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1772"/>
      <w:r>
        <w:rPr>
          <w:rFonts w:hint="eastAsia"/>
          <w:lang w:val="en-US" w:eastAsia="zh-CN"/>
        </w:rPr>
        <w:t>2.1. 强化学习（Reinforcement Learning）和深度学习（Deep Learning），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556"/>
      <w:r>
        <w:rPr>
          <w:rFonts w:hint="eastAsia"/>
          <w:lang w:val="en-US" w:eastAsia="zh-CN"/>
        </w:rPr>
        <w:t>2.2. 而迁移学习（Transfer Learning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2647"/>
      <w:r>
        <w:rPr>
          <w:rFonts w:hint="eastAsia"/>
          <w:lang w:val="en-US" w:eastAsia="zh-CN"/>
        </w:rPr>
        <w:t>2.3. 兴趣以点带面学习法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792"/>
      <w:r>
        <w:rPr>
          <w:rFonts w:hint="eastAsia"/>
          <w:lang w:val="en-US" w:eastAsia="zh-CN"/>
        </w:rPr>
        <w:t>2.4. 加强联系学习法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57"/>
      <w:r>
        <w:rPr>
          <w:rFonts w:hint="eastAsia"/>
          <w:lang w:val="en-US" w:eastAsia="zh-CN"/>
        </w:rPr>
        <w:t>2.5. 1.1　在比较中学习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7881"/>
      <w:r>
        <w:rPr>
          <w:rFonts w:hint="eastAsia"/>
          <w:lang w:val="en-US" w:eastAsia="zh-CN"/>
        </w:rPr>
        <w:t>2.6. 1.2　在历史中学习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0306"/>
      <w:r>
        <w:rPr>
          <w:rFonts w:hint="eastAsia"/>
          <w:lang w:val="en-US" w:eastAsia="zh-CN"/>
        </w:rPr>
        <w:t>先易后难的顺序排序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pacing w:val="15"/>
          <w:shd w:val="clear" w:fill="FAFAFA"/>
        </w:rPr>
        <w:t>流程、先后顺序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7" w:name="_Toc21211"/>
      <w:r>
        <w:rPr>
          <w:rFonts w:hint="eastAsia"/>
          <w:lang w:val="en-US" w:eastAsia="zh-CN"/>
        </w:rPr>
        <w:t>Atitit 知识挖掘与加工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抽象化  抽取摘要 （目录，中心思想等）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统计分析 元数据与统计汇总数据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解读化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体系化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可视化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5187"/>
      <w:r>
        <w:rPr>
          <w:rFonts w:hint="eastAsia"/>
          <w:lang w:val="en-US" w:eastAsia="zh-CN"/>
        </w:rPr>
        <w:t>Atitit 学习方法 -------体系化学习方法</w:t>
      </w:r>
      <w:bookmarkEnd w:id="18"/>
    </w:p>
    <w:p>
      <w:pPr>
        <w:pStyle w:val="3"/>
        <w:bidi w:val="0"/>
        <w:rPr>
          <w:rFonts w:hint="default" w:ascii="宋体" w:hAnsi="宋体" w:eastAsia="宋体" w:cs="宋体"/>
          <w:spacing w:val="15"/>
          <w:shd w:val="clear" w:fill="FAFAFA"/>
          <w:lang w:val="en-US" w:eastAsia="zh-CN"/>
        </w:rPr>
      </w:pPr>
      <w:bookmarkStart w:id="19" w:name="_Toc22030"/>
      <w:r>
        <w:rPr>
          <w:rFonts w:hint="eastAsia" w:ascii="宋体" w:hAnsi="宋体" w:eastAsia="宋体" w:cs="宋体"/>
          <w:color w:val="7B0C00"/>
          <w:spacing w:val="30"/>
          <w:shd w:val="clear" w:fill="FAFAFA"/>
        </w:rPr>
        <w:t>艺术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  <w:lang w:eastAsia="zh-CN"/>
        </w:rPr>
        <w:t>化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15"/>
          <w:shd w:val="clear" w:fill="FAFAFA"/>
        </w:rPr>
        <w:t>原理动画</w:t>
      </w:r>
      <w:bookmarkEnd w:id="19"/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  <w:ind w:left="420"/>
      </w:pPr>
      <w:r>
        <w:rPr>
          <w:rFonts w:hint="eastAsia" w:ascii="宋体" w:hAnsi="宋体" w:eastAsia="宋体" w:cs="宋体"/>
          <w:spacing w:val="15"/>
          <w:shd w:val="clear" w:fill="FAFAFA"/>
        </w:rPr>
        <w:t>情境化”对于语文、德育等带有情感目标的知识来说，除了要做到直观化外，更加强调通过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</w:rPr>
        <w:t>营造“艺术感受”来激发情感</w:t>
      </w:r>
      <w:r>
        <w:rPr>
          <w:rFonts w:hint="eastAsia" w:ascii="宋体" w:hAnsi="宋体" w:eastAsia="宋体" w:cs="宋体"/>
          <w:spacing w:val="15"/>
          <w:shd w:val="clear" w:fill="FAFAFA"/>
        </w:rPr>
        <w:t>。如上右图所示的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《卖火柴的小女孩》</w:t>
      </w:r>
      <w:r>
        <w:rPr>
          <w:rFonts w:hint="eastAsia" w:ascii="宋体" w:hAnsi="宋体" w:eastAsia="宋体" w:cs="宋体"/>
          <w:spacing w:val="15"/>
          <w:shd w:val="clear" w:fill="FAFAFA"/>
        </w:rPr>
        <w:t>微课，通过精心的设计、精美的画面、恰当的音乐、专业的配音，为学习者营造了强烈的情境感。这种情境感无疑极大地调动了学习者大脑的丰富感知，对于理解和掌握情感化知识来说是非常有利的。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565"/>
      <w:r>
        <w:rPr>
          <w:rFonts w:hint="eastAsia"/>
          <w:lang w:val="en-US" w:eastAsia="zh-CN"/>
        </w:rPr>
        <w:t>知识的呈现方式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186"/>
      <w:r>
        <w:rPr>
          <w:rFonts w:hint="eastAsia"/>
          <w:lang w:val="en-US" w:eastAsia="zh-CN"/>
        </w:rPr>
        <w:t>思维结构化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63"/>
      <w:r>
        <w:rPr>
          <w:rFonts w:hint="eastAsia"/>
          <w:lang w:val="en-US" w:eastAsia="zh-CN"/>
        </w:rPr>
        <w:t>知识可视化</w:t>
      </w:r>
      <w:bookmarkEnd w:id="22"/>
    </w:p>
    <w:p>
      <w:pPr>
        <w:pStyle w:val="2"/>
        <w:bidi w:val="0"/>
      </w:pPr>
      <w:bookmarkStart w:id="23" w:name="_Toc1903"/>
      <w:r>
        <w:rPr>
          <w:rFonts w:hint="eastAsia"/>
        </w:rPr>
        <w:t>心理学的“认知负荷理论</w:t>
      </w:r>
      <w:bookmarkEnd w:id="23"/>
    </w:p>
    <w:p/>
    <w:p/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认知负荷理论认为：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外在认知负荷是由信息的组织方式和呈现方式带来的，</w:t>
      </w:r>
      <w:r>
        <w:rPr>
          <w:rStyle w:val="16"/>
          <w:rFonts w:hint="eastAsia" w:ascii="宋体" w:hAnsi="宋体" w:eastAsia="宋体" w:cs="宋体"/>
          <w:color w:val="FFA900"/>
          <w:spacing w:val="30"/>
          <w:shd w:val="clear" w:fill="FAFAFA"/>
        </w:rPr>
        <w:t>不恰当的组织方式和呈现方式会增加学习者大脑的负荷</w:t>
      </w:r>
      <w:r>
        <w:rPr>
          <w:rFonts w:hint="eastAsia" w:ascii="宋体" w:hAnsi="宋体" w:eastAsia="宋体" w:cs="宋体"/>
          <w:spacing w:val="15"/>
          <w:shd w:val="clear" w:fill="FAFAFA"/>
        </w:rPr>
        <w:t>。其中，“组织方式”就是教师们经常研究的某个知识的教学流程、先后顺序等；而“呈现方式”是指信息本身以何种方式、何种媒介进行呈现，也就是“知识如何进行表达”。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26439"/>
      <w:r>
        <w:rPr>
          <w:rFonts w:hint="eastAsia"/>
          <w:lang w:val="en-US" w:eastAsia="zh-CN"/>
        </w:rPr>
        <w:t>Ref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学习方法  补充 v3 t55 attilax著 艾龙 著.docx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learn by need 需要的时候学与预先学习知识图谱路线图.docx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切入一个领域的方法总结 attilax这里，机器学习为例子.docx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 补充.docx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 (2).docx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-------体系化学习方法v2.docx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学习的几种方法.docx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学习的方法 attilax总结.docx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教育学 学习法 与教学法   项目式教学法.docx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 (2).docx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碎片化学习工具 与 资源.docx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预先学习设计还是  到时再说.docx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Atitit.全栈  专家  两种不同的学习模型.docx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4E108"/>
    <w:multiLevelType w:val="multilevel"/>
    <w:tmpl w:val="6164E1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942DD"/>
    <w:rsid w:val="12A87A3F"/>
    <w:rsid w:val="16EF6F10"/>
    <w:rsid w:val="199F1930"/>
    <w:rsid w:val="28C942DD"/>
    <w:rsid w:val="28D76A2E"/>
    <w:rsid w:val="298F36B2"/>
    <w:rsid w:val="30037A9A"/>
    <w:rsid w:val="35411582"/>
    <w:rsid w:val="40F05B27"/>
    <w:rsid w:val="4A264956"/>
    <w:rsid w:val="60E21597"/>
    <w:rsid w:val="651C1DCC"/>
    <w:rsid w:val="6A607ADF"/>
    <w:rsid w:val="6D446DAA"/>
    <w:rsid w:val="78B932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2019-05-14T13:05:00Z</dcterms:created>
  <dc:creator>ATI老哇的爪子007</dc:creator>
  <cp:lastModifiedBy>ATI老哇的爪子007</cp:lastModifiedBy>
  <dcterms:modified xsi:type="dcterms:W3CDTF">2019-05-14T13:47:59Z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