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高级 概念 api 类库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22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" w:name="_GoBack"/>
          <w:bookmarkEnd w:id="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常见高级api</w:t>
          </w:r>
          <w:r>
            <w:tab/>
          </w:r>
          <w:r>
            <w:fldChar w:fldCharType="begin"/>
          </w:r>
          <w:r>
            <w:instrText xml:space="preserve"> PAGEREF _Toc16525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_Toc23043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 w:ascii="黑体" w:hAnsi="宋体" w:eastAsia="黑体"/>
              <w:szCs w:val="52"/>
            </w:rPr>
            <w:t>《Java高</w:t>
          </w:r>
          <w:r>
            <w:rPr>
              <w:rFonts w:hint="eastAsia"/>
            </w:rPr>
            <w:t>级&amp;Struts2》教学大纲（云计算）</w:t>
          </w:r>
          <w:r>
            <w:tab/>
          </w:r>
          <w:r>
            <w:fldChar w:fldCharType="begin"/>
          </w:r>
          <w:r>
            <w:instrText xml:space="preserve"> PAGEREF _Toc634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Atitit.jdk与.net中的类库模块统计attilax总结 25个模块</w:t>
          </w:r>
          <w:r>
            <w:tab/>
          </w:r>
          <w:r>
            <w:fldChar w:fldCharType="begin"/>
          </w:r>
          <w:r>
            <w:instrText xml:space="preserve"> PAGEREF _Toc701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6525"/>
      <w:r>
        <w:rPr>
          <w:rFonts w:hint="eastAsia"/>
          <w:lang w:val="en-US" w:eastAsia="zh-CN"/>
        </w:rPr>
        <w:t>常见高级api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 与注解api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Fp函数式模块 stream api </w:t>
      </w:r>
    </w:p>
    <w:tbl>
      <w:tblPr>
        <w:tblStyle w:val="15"/>
        <w:tblW w:w="3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Script脚本运行时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Microsoft YaHei UI"/>
                <w:vertAlign w:val="baseline"/>
                <w:lang w:val="en-US" w:eastAsia="zh-CN"/>
              </w:rPr>
            </w:pPr>
            <w:r>
              <w:rPr>
                <w:rStyle w:val="17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Globalization</w:t>
            </w:r>
            <w:r>
              <w:rPr>
                <w:rStyle w:val="17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  <w:lang w:eastAsia="zh-CN"/>
              </w:rPr>
              <w:t>国际化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Util 。loale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Consolas" w:hAnsi="Consolas" w:eastAsia="宋体"/>
                <w:color w:val="C0C0C0"/>
                <w:sz w:val="24"/>
                <w:highlight w:val="dark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C0C0C0"/>
                <w:sz w:val="24"/>
                <w:highlight w:val="darkGray"/>
                <w:lang w:val="en-US" w:eastAsia="zh-CN"/>
              </w:rPr>
              <w:t>并发类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  <w:highlight w:val="darkGray"/>
              </w:rPr>
              <w:t>java</w:t>
            </w:r>
            <w:r>
              <w:rPr>
                <w:rFonts w:hint="eastAsia" w:ascii="Consolas" w:hAnsi="Consolas" w:eastAsia="Consolas"/>
                <w:color w:val="E8E2B7"/>
                <w:sz w:val="24"/>
                <w:highlight w:val="darkGray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highlight w:val="darkGray"/>
              </w:rPr>
              <w:t>util</w:t>
            </w:r>
            <w:r>
              <w:rPr>
                <w:rFonts w:hint="eastAsia" w:ascii="Consolas" w:hAnsi="Consolas" w:eastAsia="Consolas"/>
                <w:color w:val="E8E2B7"/>
                <w:sz w:val="24"/>
                <w:highlight w:val="darkGray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highlight w:val="darkGray"/>
              </w:rPr>
              <w:t>concurrent</w:t>
            </w:r>
          </w:p>
        </w:tc>
      </w:tr>
    </w:tbl>
    <w:p>
      <w:pPr>
        <w:rPr>
          <w:rFonts w:hint="eastAsia" w:ascii="Times New Roman" w:hAnsi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/>
          <w:sz w:val="30"/>
          <w:szCs w:val="30"/>
          <w:lang w:val="en-US" w:eastAsia="zh-CN"/>
        </w:rPr>
        <w:t>正则</w:t>
      </w:r>
    </w:p>
    <w:p>
      <w:pPr>
        <w:rPr>
          <w:rFonts w:hint="eastAsia" w:ascii="Times New Roman" w:hAnsi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/>
          <w:sz w:val="30"/>
          <w:szCs w:val="30"/>
          <w:lang w:val="en-US" w:eastAsia="zh-CN"/>
        </w:rPr>
        <w:t>IO流 字节 字符编码</w:t>
      </w:r>
    </w:p>
    <w:p>
      <w:pPr>
        <w:rPr>
          <w:rFonts w:hint="eastAsia" w:ascii="Times New Roman" w:hAnsi="Times New Roman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4.读写二进制文件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1.读取关键代码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FileInputStream yy= new FileInputStream(“d:/java/666.txt”)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DataInputStream bb=new DataInputStream(yy)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2.写关键代码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FileOutputStream yy=new FileOUtputStream(“d:/java/666.txt”)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DataOutputStream aa=new DataOutputStream(yy)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导入文件代码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int oo;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while((oo=bb.read())!=-1){//读取数据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aa.write(oo) //把读取的数据写到新的文本文档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}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5.序列化保存对象信息关键代码；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>----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.Java网络编程</w:t>
      </w: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----------------- 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/>
          <w:sz w:val="30"/>
          <w:szCs w:val="30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设计模式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vc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工作流workflow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webservice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图片处理,如图片上传,预览,限制大小等,下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版本控制工具,CVS VSS SVN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Java Mail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分页技术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42.Java读写txt,excel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jvm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页面静态化技术(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.报表技术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从长远角度来看，以下这些Java SE功能/API，开发者最好停止使用。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  <w:rPr>
          <w:rFonts w:hint="eastAsia" w:ascii="微软雅黑" w:hAnsi="微软雅黑" w:eastAsia="微软雅黑" w:cs="微软雅黑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Reflection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  <w:rPr>
          <w:rFonts w:hint="eastAsia" w:ascii="微软雅黑" w:hAnsi="微软雅黑" w:eastAsia="微软雅黑" w:cs="微软雅黑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Bytecode manipulation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  <w:rPr>
          <w:rFonts w:hint="eastAsia" w:ascii="微软雅黑" w:hAnsi="微软雅黑" w:eastAsia="微软雅黑" w:cs="微软雅黑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ThreadLocals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  <w:rPr>
          <w:rFonts w:hint="eastAsia" w:ascii="微软雅黑" w:hAnsi="微软雅黑" w:eastAsia="微软雅黑" w:cs="微软雅黑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Classloaders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  <w:rPr>
          <w:rFonts w:hint="eastAsia" w:ascii="微软雅黑" w:hAnsi="微软雅黑" w:eastAsia="微软雅黑" w:cs="微软雅黑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Weak/Soft references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  <w:rPr>
          <w:rFonts w:hint="eastAsia" w:ascii="微软雅黑" w:hAnsi="微软雅黑" w:eastAsia="微软雅黑" w:cs="微软雅黑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Sockets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" w:name="_Toc23043"/>
      <w:r>
        <w:rPr>
          <w:rFonts w:hint="eastAsia"/>
          <w:lang w:val="en-US" w:eastAsia="zh-CN"/>
        </w:rPr>
        <w:t>ref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2" w:name="_Toc634"/>
      <w:r>
        <w:rPr>
          <w:rFonts w:hint="eastAsia" w:ascii="黑体" w:hAnsi="宋体" w:eastAsia="黑体"/>
          <w:b/>
          <w:szCs w:val="52"/>
        </w:rPr>
        <w:t>《Java高</w:t>
      </w:r>
      <w:r>
        <w:rPr>
          <w:rFonts w:hint="eastAsia"/>
        </w:rPr>
        <w:t>级&amp;Struts2》教学大纲（云计算）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701"/>
      <w:r>
        <w:rPr>
          <w:rFonts w:hint="eastAsia"/>
          <w:lang w:val="en-US" w:eastAsia="zh-CN"/>
        </w:rPr>
        <w:t>Atitit.jdk与.net中的类库模块统计attilax总结 25个模块</w:t>
      </w:r>
      <w:bookmarkEnd w:id="3"/>
    </w:p>
    <w:p>
      <w:pPr>
        <w:spacing w:line="700" w:lineRule="exact"/>
        <w:jc w:val="center"/>
        <w:rPr>
          <w:rFonts w:hint="eastAsia" w:ascii="黑体" w:hAnsi="宋体" w:eastAsia="黑体"/>
          <w:b/>
          <w:sz w:val="44"/>
          <w:szCs w:val="52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高级Java程序员要具备哪些知识.html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(9+条消息)开发者应该避免使用的6个Java功能-CSDN.NET.html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BEAC7A"/>
    <w:multiLevelType w:val="multilevel"/>
    <w:tmpl w:val="D1BEAC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905CAD6"/>
    <w:multiLevelType w:val="multilevel"/>
    <w:tmpl w:val="3905CAD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C6C35"/>
    <w:rsid w:val="03E01BEC"/>
    <w:rsid w:val="075900F3"/>
    <w:rsid w:val="09A07E01"/>
    <w:rsid w:val="11256B54"/>
    <w:rsid w:val="1AA905B8"/>
    <w:rsid w:val="1FB146F4"/>
    <w:rsid w:val="23525CB1"/>
    <w:rsid w:val="2A4903B2"/>
    <w:rsid w:val="2E5A70FC"/>
    <w:rsid w:val="312F1BA2"/>
    <w:rsid w:val="353952BF"/>
    <w:rsid w:val="374F06E0"/>
    <w:rsid w:val="3D140C5B"/>
    <w:rsid w:val="3DE16699"/>
    <w:rsid w:val="416317C7"/>
    <w:rsid w:val="46B567EF"/>
    <w:rsid w:val="4E56359D"/>
    <w:rsid w:val="51EA1C63"/>
    <w:rsid w:val="5D834BA9"/>
    <w:rsid w:val="5E1B6418"/>
    <w:rsid w:val="61003558"/>
    <w:rsid w:val="615C6C35"/>
    <w:rsid w:val="6DA51D30"/>
    <w:rsid w:val="6DD77303"/>
    <w:rsid w:val="70130D29"/>
    <w:rsid w:val="748D6889"/>
    <w:rsid w:val="7CFE01A6"/>
    <w:rsid w:val="7D181FA3"/>
    <w:rsid w:val="7FFD53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2019-06-05T13:20:00Z</dcterms:created>
  <dc:creator>ATI老哇的爪子007</dc:creator>
  <cp:lastModifiedBy>ATI老哇的爪子007</cp:lastModifiedBy>
  <dcterms:modified xsi:type="dcterms:W3CDTF">2019-06-05T13:51:10Z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