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mybatis 二级缓存开启测试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通过打开debug sql日志看到是否启用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正常情况下，只有第一个发出sql。。。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如果没有看到 ，可能是sesseon没有sumibt ,,submit ha zo ok//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testMybatisCache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cfg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  <w:u w:val="single"/>
        </w:rPr>
        <w:t>HashMap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u w:val="single"/>
        </w:rPr>
        <w:t>HashMap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productId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9999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"productId"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u w:val="single"/>
        </w:rPr>
        <w:t>productId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programId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9999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"programId"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u w:val="single"/>
        </w:rPr>
        <w:t>programId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paramNo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12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u w:val="single"/>
        </w:rPr>
        <w:t>map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"paramNo"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u w:val="single"/>
        </w:rPr>
        <w:t>paramNo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SqlSession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MybatisUtil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getSqlSessionNew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cfg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i/>
          <w:color w:val="80FF80"/>
          <w:sz w:val="24"/>
        </w:rPr>
        <w:t>lgr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info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"$$$$$$$$$$$$ SqlSession id 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MybatisUtil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u w:val="single"/>
        </w:rPr>
        <w:t>MybatisUtil1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MybatisUtil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rzt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selectOne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"CliSendAdvice.getParameter"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FFFF80"/>
          <w:sz w:val="24"/>
        </w:rPr>
        <w:t>ss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close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rzt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99"/>
        <w:spacing w:before="270" w:beforeAutospacing="0" w:after="270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  <w:shd w:val="clear" w:fill="006699"/>
        </w:rPr>
        <w:t>、二级缓存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二级缓存(second level cache)，全局作用域缓存；二级缓存默认不开启，需要手动配置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MyBatis提供二级缓存的接口以及实现，缓存实现要求 POJO实现Serializable接口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二级缓存在 SqlSession 关闭或提交之后才会生效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36431"/>
    <w:multiLevelType w:val="multilevel"/>
    <w:tmpl w:val="5B8364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D5442D"/>
    <w:rsid w:val="28902530"/>
    <w:rsid w:val="36EA6CD5"/>
    <w:rsid w:val="424D1783"/>
    <w:rsid w:val="47B84868"/>
    <w:rsid w:val="633B1CA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2018-04-16T08:39:00Z</dcterms:created>
  <dc:creator>ATI老哇的爪子007</dc:creator>
  <cp:lastModifiedBy>ATI老哇的爪子007</cp:lastModifiedBy>
  <dcterms:modified xsi:type="dcterms:W3CDTF">2018-04-17T05:36:46Z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