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sdk封装的艺术 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重要模块8个</w:t>
      </w:r>
      <w:r>
        <w:tab/>
      </w:r>
      <w:r>
        <w:fldChar w:fldCharType="begin"/>
      </w:r>
      <w:r>
        <w:instrText xml:space="preserve"> PAGEREF _Toc5157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szCs w:val="19"/>
        </w:rPr>
        <w:t>Collections</w:t>
      </w:r>
      <w:r>
        <w:rPr>
          <w:rFonts w:hint="eastAsia"/>
          <w:lang w:eastAsia="zh-CN"/>
        </w:rPr>
        <w:t>集合，</w:t>
      </w:r>
      <w:r>
        <w:rPr>
          <w:rFonts w:hint="eastAsia"/>
          <w:lang w:val="en-US" w:eastAsia="zh-CN"/>
        </w:rPr>
        <w:t>core,net,io,Script,sql,text,fp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全部模块25个</w:t>
      </w:r>
      <w:r>
        <w:tab/>
      </w:r>
      <w:r>
        <w:fldChar w:fldCharType="begin"/>
      </w:r>
      <w:r>
        <w:instrText xml:space="preserve"> PAGEREF _Toc32669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Jdk net clr类库对比（25模块）</w:t>
      </w:r>
      <w:r>
        <w:tab/>
      </w:r>
      <w:r>
        <w:fldChar w:fldCharType="begin"/>
      </w:r>
      <w:r>
        <w:instrText xml:space="preserve"> PAGEREF _Toc26738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语言标准库</w:t>
      </w:r>
      <w:r>
        <w:tab/>
      </w:r>
      <w:r>
        <w:fldChar w:fldCharType="begin"/>
      </w:r>
      <w:r>
        <w:instrText xml:space="preserve"> PAGEREF _Toc9024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4. atitit 软件框架类库设计的艺术.docx</w:t>
      </w:r>
      <w:r>
        <w:tab/>
      </w:r>
      <w:r>
        <w:fldChar w:fldCharType="begin"/>
      </w:r>
      <w:r>
        <w:instrText xml:space="preserve"> PAGEREF _Toc28513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157"/>
      <w:r>
        <w:rPr>
          <w:rFonts w:hint="eastAsia"/>
          <w:lang w:val="en-US" w:eastAsia="zh-CN"/>
        </w:rPr>
        <w:t>重要模块8个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317"/>
      <w:r>
        <w:fldChar w:fldCharType="begin"/>
      </w:r>
      <w:r>
        <w:instrText xml:space="preserve"> HYPERLINK "https://msdn.microsoft.com/zh-cn/library/gg145035.aspx" </w:instrText>
      </w:r>
      <w: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Cs w:val="19"/>
          <w:u w:val="none"/>
        </w:rPr>
        <w:t>Collections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集合，</w:t>
      </w:r>
      <w:r>
        <w:rPr>
          <w:rFonts w:hint="eastAsia"/>
          <w:lang w:val="en-US" w:eastAsia="zh-CN"/>
        </w:rPr>
        <w:t>core,net,io,Script,sql,text,fp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669"/>
      <w:r>
        <w:rPr>
          <w:rFonts w:hint="eastAsia"/>
          <w:lang w:val="en-US" w:eastAsia="zh-CN"/>
        </w:rPr>
        <w:t>全部模块25个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6738"/>
      <w:r>
        <w:rPr>
          <w:rFonts w:hint="eastAsia"/>
          <w:lang w:val="en-US" w:eastAsia="zh-CN"/>
        </w:rPr>
        <w:t>Jdk net clr类库对比（25模块）</w:t>
      </w:r>
      <w:bookmarkEnd w:id="3"/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="Microsoft YaHei UI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"https://msdn.microsoft.com/zh-cn/library/gg145035.aspx"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Collections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eastAsia="zh-CN"/>
              </w:rPr>
              <w:t>集合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Java.util.*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"https://msdn.microsoft.com/zh-cn/library/gg145035.aspx"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Collections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Configuration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"https://msdn.microsoft.com/zh-cn/library/gg145027.aspx"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System.Configuration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Core核心模块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"https://msdn.microsoft.com/zh-cn/library/gg145017.aspx"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System.Runtime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Net网络模块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（ftp http 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"https://msdn.microsoft.com/zh-cn/library/gg145039.aspx"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System.Net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Web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"https://msdn.microsoft.com/zh-cn/library/gg145018.aspx"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System.Web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Windows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Jafavx swing</w:t>
            </w:r>
          </w:p>
        </w:tc>
        <w:tc>
          <w:tcPr>
            <w:tcW w:w="1704" w:type="dxa"/>
          </w:tcPr>
          <w:p>
            <w:pP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"https://msdn.microsoft.com/zh-cn/library/gg145013.aspx"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System.Windows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Fp函数式模块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"https://msdn.microsoft.com/zh-cn/library/gg145016.aspx"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System.Linq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Img图像处理模块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"https://msdn.microsoft.com/zh-cn/library/gg145023.aspx"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System.Drawing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olor w:val="00709F"/>
                <w:spacing w:val="0"/>
                <w:sz w:val="19"/>
                <w:szCs w:val="19"/>
                <w:u w:val="none"/>
                <w:lang w:val="en-US" w:eastAsia="zh-CN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val="en-US" w:eastAsia="zh-CN"/>
              </w:rPr>
              <w:t>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Codec编码模块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Media多媒体模块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"https://msdn.microsoft.com/zh-cn/library/system.media.aspx"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System.Media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Script脚本运行时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"https://msdn.microsoft.com/zh-cn/library/gg145041.aspx"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Microsoft.JScript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sql数据库与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"https://msdn.microsoft.com/zh-cn/library/gg145028.aspx"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System.Data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Secury安全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secury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"https://msdn.microsoft.com/zh-cn/library/gg145025.aspx"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System.Security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  <w:p>
            <w:pP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System.Security.Cryptography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"https://msdn.microsoft.com/zh-cn/library/gg145036.aspx"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System.Xml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Math数学模块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19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Text文本处理模块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"https://msdn.microsoft.com/zh-cn/library/gg145012.aspx"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System.Text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Print打印机模块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"https://msdn.microsoft.com/zh-cn/library/gg145044.aspx"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System.Printing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21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 tool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loale loggin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22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Reflect反射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reflect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"https://msdn.microsoft.com/zh-cn/library/gg145033.aspx"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System.Reflection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eastAsia" w:eastAsia="Microsoft YaHei UI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Globalization</w:t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eastAsia="zh-CN"/>
              </w:rPr>
              <w:t>国际化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Util 。loale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"https://msdn.microsoft.com/zh-cn/library/system.globalization.aspx" </w:instrText>
            </w: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System.Globalization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color w:val="00709F"/>
                <w:kern w:val="0"/>
                <w:sz w:val="19"/>
                <w:szCs w:val="19"/>
                <w:u w:val="none"/>
                <w:lang w:val="en-US" w:eastAsia="zh-CN" w:bidi="ar"/>
              </w:rPr>
              <w:t>24</w:t>
            </w:r>
          </w:p>
        </w:tc>
        <w:tc>
          <w:tcPr>
            <w:tcW w:w="1704" w:type="dxa"/>
          </w:tcPr>
          <w:p>
            <w:pP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  <w:t>并发类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concurrent</w:t>
            </w:r>
          </w:p>
        </w:tc>
        <w:tc>
          <w:tcPr>
            <w:tcW w:w="1704" w:type="dxa"/>
          </w:tcPr>
          <w:p>
            <w:pP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2A2A2A"/>
                <w:spacing w:val="0"/>
                <w:sz w:val="19"/>
                <w:szCs w:val="19"/>
              </w:rPr>
              <w:t>System.Threading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 命名空间</w:t>
            </w:r>
          </w:p>
          <w:p>
            <w:pP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</w:pPr>
            <w:r>
              <w:rPr>
                <w:rFonts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除同步线程活动和访问数据的类（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"https://msdn.microsoft.com/zh-cn/library/system.threading.mutex(v=vs.80).aspx"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Mutex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"https://msdn.microsoft.com/zh-cn/library/system.threading.monitor(v=vs.80).aspx"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Monitor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"https://msdn.microsoft.com/zh-cn/library/system.threading.interlocked(v=vs.80).aspx"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Interlocked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"https://msdn.microsoft.com/zh-cn/library/system.threading.autoresetevent(v=vs.80).aspx"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AutoResetEvent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 等）外，此命名空间还包含一个 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instrText xml:space="preserve"> HYPERLINK "https://msdn.microsoft.com/zh-cn/library/system.threading.threadpool(v=vs.80).aspx" </w:instrTex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9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ThreadPool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2A2A2A"/>
                <w:spacing w:val="0"/>
                <w:sz w:val="19"/>
                <w:szCs w:val="19"/>
              </w:rPr>
              <w:t> 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9024"/>
      <w:r>
        <w:rPr>
          <w:rFonts w:hint="eastAsia"/>
          <w:lang w:val="en-US" w:eastAsia="zh-CN"/>
        </w:rPr>
        <w:t>语言标准库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"1" </w:instrText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控制流程函数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字符串函数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数学函数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44个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日期时间函数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"5"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搜索函数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6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"6"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加密函数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7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"7"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信息函数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8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"8"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其他函数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9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"http://baike.baidu.com/link?url=L6ixew36flyOfgq7VQT_WoEI_rq1mrZN84SPDrR4XkjVEfZV27UpN6cb9Rwmz4JoCtetTpOtqsItMmcdOFWIAYjxkLs58ILyp82vSfjfsE3" \l "9"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聚合函数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类型转换函数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513"/>
      <w:r>
        <w:rPr>
          <w:rFonts w:hint="default"/>
          <w:lang w:val="en-US" w:eastAsia="zh-CN"/>
        </w:rPr>
        <w:t>atitit 软件框架类库设计的艺术.docx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index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第2章 设计api的动力之源 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.1 分布式开发 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2.2 模块化应用程序 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第4章 兼容性 42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4.2.1 源代码兼容 43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4.2.2 二进制兼容 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4.2.3 功能兼容——阿米巴变形虫效应 50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反射解决兼容性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第6章 面向接口而非实现进行编程 85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第7章 模块化架构 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第12章 声明式编程 223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常用扩展性方法提升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函数回调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Map参数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标准库  sdk 函数库 编程语言 mysql oracle  attilax总结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7F0"/>
    <w:multiLevelType w:val="multilevel"/>
    <w:tmpl w:val="161257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8CABA21"/>
    <w:multiLevelType w:val="multilevel"/>
    <w:tmpl w:val="58CABA2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ABA2C"/>
    <w:multiLevelType w:val="multilevel"/>
    <w:tmpl w:val="58CABA2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CABA37"/>
    <w:multiLevelType w:val="multilevel"/>
    <w:tmpl w:val="58CABA3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41632"/>
    <w:rsid w:val="0B087716"/>
    <w:rsid w:val="0BAA1E98"/>
    <w:rsid w:val="20510FBD"/>
    <w:rsid w:val="33B41632"/>
    <w:rsid w:val="3AD224B9"/>
    <w:rsid w:val="3B28550C"/>
    <w:rsid w:val="3C7E671E"/>
    <w:rsid w:val="4BE0631D"/>
    <w:rsid w:val="4FC92B92"/>
    <w:rsid w:val="52B67EEF"/>
    <w:rsid w:val="542721AA"/>
    <w:rsid w:val="5AE87E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2019-09-09T12:59:00Z</dcterms:created>
  <dc:creator>ATI老哇的爪子007</dc:creator>
  <cp:lastModifiedBy>ATI老哇的爪子007</cp:lastModifiedBy>
  <dcterms:modified xsi:type="dcterms:W3CDTF">2019-09-09T13:03:22Z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