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通过教育提升阶层 不同阶层的不同教育专业分类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顶层婆罗门教育专业</w:t>
          </w:r>
          <w:r>
            <w:tab/>
          </w:r>
          <w:r>
            <w:fldChar w:fldCharType="begin"/>
          </w:r>
          <w:r>
            <w:instrText xml:space="preserve"> PAGEREF _Toc25096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 w:ascii="PingFang SC" w:hAnsi="PingFang SC" w:eastAsia="宋体" w:cs="PingFang SC"/>
              <w:i w:val="0"/>
              <w:caps w:val="0"/>
              <w:spacing w:val="0"/>
              <w:szCs w:val="24"/>
              <w:shd w:val="clear" w:fill="FFFFFF"/>
              <w:lang w:eastAsia="zh-CN"/>
            </w:rPr>
            <w:t>价值观教育</w:t>
          </w:r>
          <w:r>
            <w:rPr>
              <w:rFonts w:hint="eastAsia" w:ascii="PingFang SC" w:hAnsi="PingFang SC" w:eastAsia="宋体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意识形态  宗教 （</w:t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</w:rPr>
            <w:t>哲学</w:t>
          </w:r>
          <w:r>
            <w:rPr>
              <w:rFonts w:hint="eastAsia" w:ascii="PingFang SC" w:hAnsi="PingFang SC" w:eastAsia="宋体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教育学</w:t>
          </w:r>
          <w:r>
            <w:rPr>
              <w:rFonts w:hint="eastAsia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）</w:t>
          </w:r>
          <w:r>
            <w:tab/>
          </w:r>
          <w:r>
            <w:fldChar w:fldCharType="begin"/>
          </w:r>
          <w:r>
            <w:instrText xml:space="preserve"> PAGEREF _Toc14720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（11）法学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管理学</w:t>
          </w:r>
          <w:r>
            <w:rPr>
              <w:rFonts w:hint="eastAsia"/>
              <w:lang w:val="en-US" w:eastAsia="zh-CN"/>
            </w:rPr>
            <w:t xml:space="preserve"> 公共管理 行政管理</w:t>
          </w:r>
          <w:r>
            <w:tab/>
          </w:r>
          <w:r>
            <w:fldChar w:fldCharType="begin"/>
          </w:r>
          <w:r>
            <w:instrText xml:space="preserve"> PAGEREF _Toc15810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高层经济学</w:t>
          </w:r>
          <w:r>
            <w:tab/>
          </w:r>
          <w:r>
            <w:fldChar w:fldCharType="begin"/>
          </w:r>
          <w:r>
            <w:instrText xml:space="preserve"> PAGEREF _Toc21291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1.4. </w:t>
          </w:r>
          <w:r>
            <w:rPr>
              <w:rFonts w:hint="eastAsia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娱乐类 </w:t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（5）文学</w:t>
          </w:r>
          <w:r>
            <w:rPr>
              <w:rFonts w:hint="eastAsia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文艺艺术</w:t>
          </w:r>
          <w:r>
            <w:tab/>
          </w:r>
          <w:r>
            <w:fldChar w:fldCharType="begin"/>
          </w:r>
          <w:r>
            <w:instrText xml:space="preserve"> PAGEREF _Toc9681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中层素质教育 </w:t>
          </w:r>
          <w:r>
            <w:rPr>
              <w:rFonts w:hint="default"/>
              <w:lang w:val="en-US" w:eastAsia="zh-CN"/>
            </w:rPr>
            <w:t>（6）历史学</w:t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（12）艺术学</w:t>
          </w:r>
          <w:r>
            <w:tab/>
          </w:r>
          <w:r>
            <w:fldChar w:fldCharType="begin"/>
          </w:r>
          <w:r>
            <w:instrText xml:space="preserve"> PAGEREF _Toc18668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底层职业教育</w:t>
          </w:r>
          <w:r>
            <w:tab/>
          </w:r>
          <w:r>
            <w:fldChar w:fldCharType="begin"/>
          </w:r>
          <w:r>
            <w:instrText xml:space="preserve"> PAGEREF _Toc21351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（7）理学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（8）工学（9）农学（10）医学</w:t>
          </w:r>
          <w:r>
            <w:tab/>
          </w:r>
          <w:r>
            <w:fldChar w:fldCharType="begin"/>
          </w:r>
          <w:r>
            <w:instrText xml:space="preserve"> PAGEREF _Toc18886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商学 </w:t>
          </w:r>
          <w:r>
            <w:rPr>
              <w:rFonts w:hint="default" w:ascii="PingFang SC" w:hAnsi="PingFang SC" w:eastAsia="PingFang SC" w:cs="PingFang SC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经济学</w:t>
          </w:r>
          <w:r>
            <w:tab/>
          </w:r>
          <w:r>
            <w:fldChar w:fldCharType="begin"/>
          </w:r>
          <w:r>
            <w:instrText xml:space="preserve"> PAGEREF _Toc4520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096"/>
      <w:r>
        <w:rPr>
          <w:rFonts w:hint="eastAsia"/>
          <w:lang w:val="en-US" w:eastAsia="zh-CN"/>
        </w:rPr>
        <w:t>顶层婆罗门教育专业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720"/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价值观教育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意识形态  宗教 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哲学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教育学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810"/>
      <w:r>
        <w:rPr>
          <w:rFonts w:hint="default"/>
          <w:lang w:val="en-US" w:eastAsia="zh-CN"/>
        </w:rPr>
        <w:t>（11）法学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管理学</w:t>
      </w:r>
      <w:r>
        <w:rPr>
          <w:rFonts w:hint="eastAsia"/>
          <w:lang w:val="en-US" w:eastAsia="zh-CN"/>
        </w:rPr>
        <w:t xml:space="preserve"> 公共管理 行政管理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291"/>
      <w:r>
        <w:rPr>
          <w:rFonts w:hint="eastAsia"/>
          <w:lang w:val="en-US" w:eastAsia="zh-CN"/>
        </w:rPr>
        <w:t>高层经济学</w:t>
      </w:r>
      <w:bookmarkEnd w:id="3"/>
    </w:p>
    <w:p>
      <w:pPr>
        <w:pStyle w:val="3"/>
        <w:bidi w:val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4" w:name="_Toc9681"/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娱乐类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（5）文学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文艺艺术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5" w:name="_Toc18668"/>
      <w:r>
        <w:rPr>
          <w:rFonts w:hint="eastAsia"/>
          <w:lang w:val="en-US" w:eastAsia="zh-CN"/>
        </w:rPr>
        <w:t xml:space="preserve">中层素质教育 </w:t>
      </w:r>
      <w:r>
        <w:rPr>
          <w:rFonts w:hint="default"/>
          <w:lang w:val="en-US" w:eastAsia="zh-CN"/>
        </w:rPr>
        <w:t>（6）历史学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（12）艺术学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351"/>
      <w:r>
        <w:rPr>
          <w:rFonts w:hint="eastAsia"/>
          <w:lang w:val="en-US" w:eastAsia="zh-CN"/>
        </w:rPr>
        <w:t>底层职业教育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886"/>
      <w:r>
        <w:rPr>
          <w:rFonts w:hint="default"/>
          <w:lang w:val="en-US" w:eastAsia="zh-CN"/>
        </w:rPr>
        <w:t>（7）理学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（8）工学（9）农学（10）医学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520"/>
      <w:r>
        <w:rPr>
          <w:rFonts w:hint="eastAsia"/>
          <w:lang w:val="en-US" w:eastAsia="zh-CN"/>
        </w:rPr>
        <w:t xml:space="preserve">商学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经济学</w:t>
      </w:r>
      <w:bookmarkEnd w:id="8"/>
    </w:p>
    <w:p>
      <w:pPr>
        <w:bidi w:val="0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3237"/>
      <w:r>
        <w:rPr>
          <w:rFonts w:hint="eastAsia"/>
          <w:lang w:val="en-US" w:eastAsia="zh-CN"/>
        </w:rPr>
        <w:t>Ref</w:t>
      </w:r>
      <w:bookmarkEnd w:id="9"/>
    </w:p>
    <w:p>
      <w:pPr>
        <w:widowControl w:val="0"/>
        <w:numPr>
          <w:numId w:val="0"/>
        </w:numPr>
        <w:jc w:val="both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Atitit 高等教育 中产教育 普通教育的异同v2.docx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Atitit 知识管理 知识体系专业分类介绍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1.1. （一）我国的高校现行的12个学科门类是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1.1.（一）我国的高校现行的12个学科门类是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哲学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（2）经济学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（3）法学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（4）教育学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（5）文学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（6）历史学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（7）理学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（8）工学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（9）农学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（10）医学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（11）管理学</w:t>
      </w:r>
    </w:p>
    <w:p>
      <w:pPr>
        <w:widowControl w:val="0"/>
        <w:numPr>
          <w:numId w:val="0"/>
        </w:numPr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（12）艺术学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15D07"/>
    <w:multiLevelType w:val="multilevel"/>
    <w:tmpl w:val="B0015D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417558F"/>
    <w:multiLevelType w:val="singleLevel"/>
    <w:tmpl w:val="241755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D164B"/>
    <w:rsid w:val="002F44A1"/>
    <w:rsid w:val="0925272C"/>
    <w:rsid w:val="0C9A179B"/>
    <w:rsid w:val="1C8F1881"/>
    <w:rsid w:val="22F03DFC"/>
    <w:rsid w:val="249E221A"/>
    <w:rsid w:val="2A526B07"/>
    <w:rsid w:val="2D6D164B"/>
    <w:rsid w:val="2E757360"/>
    <w:rsid w:val="2F0E2018"/>
    <w:rsid w:val="30E80C94"/>
    <w:rsid w:val="32A071CD"/>
    <w:rsid w:val="33CC41E5"/>
    <w:rsid w:val="397E5189"/>
    <w:rsid w:val="39A26729"/>
    <w:rsid w:val="39C32D1E"/>
    <w:rsid w:val="46F34798"/>
    <w:rsid w:val="48614D82"/>
    <w:rsid w:val="4E4452EE"/>
    <w:rsid w:val="4E6D10A4"/>
    <w:rsid w:val="56DC257C"/>
    <w:rsid w:val="57944166"/>
    <w:rsid w:val="672D5FFF"/>
    <w:rsid w:val="73E676C7"/>
    <w:rsid w:val="78A23468"/>
    <w:rsid w:val="78B25E4E"/>
    <w:rsid w:val="796A10F3"/>
    <w:rsid w:val="79E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2020-05-27T05:01:00Z</dcterms:created>
  <dc:creator>Administrator</dc:creator>
  <cp:lastModifiedBy>Administrator</cp:lastModifiedBy>
  <dcterms:modified xsi:type="dcterms:W3CDTF">2020-05-27T05:10:15Z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