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king req  国王规范</w:t>
      </w:r>
    </w:p>
    <w:p>
      <w:pPr>
        <w:rPr>
          <w:rFonts w:hint="eastAsia"/>
          <w:lang w:val="en-US" w:eastAsia="zh-CN"/>
        </w:rPr>
      </w:pPr>
    </w:p>
    <w:sdt>
      <w:sdtPr>
        <w:rPr>
          <w:rFonts w:ascii="宋体" w:hAnsi="宋体" w:eastAsia="宋体" w:cstheme="minorBidi"/>
          <w:kern w:val="2"/>
          <w:sz w:val="21"/>
          <w:szCs w:val="24"/>
          <w:lang w:val="en-US" w:eastAsia="zh-CN" w:bidi="ar-SA"/>
        </w:rPr>
        <w:id w:val="14745352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_Toc29926 </w:instrText>
          </w:r>
          <w:r>
            <w:rPr>
              <w:rFonts w:hint="eastAsia"/>
              <w:lang w:val="en-US" w:eastAsia="zh-CN"/>
            </w:rPr>
            <w:fldChar w:fldCharType="separate"/>
          </w:r>
          <w:r>
            <w:rPr>
              <w:rFonts w:hint="default"/>
              <w:lang w:val="en-US" w:eastAsia="zh-CN"/>
            </w:rPr>
            <w:t xml:space="preserve">1. </w:t>
          </w:r>
          <w:r>
            <w:rPr>
              <w:rFonts w:hint="eastAsia"/>
              <w:lang w:val="en-US" w:eastAsia="zh-CN"/>
            </w:rPr>
            <w:t>帝王的衣食住行规格</w:t>
          </w:r>
          <w:r>
            <w:tab/>
          </w:r>
          <w:r>
            <w:fldChar w:fldCharType="begin"/>
          </w:r>
          <w:r>
            <w:instrText xml:space="preserve"> PAGEREF _Toc29926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_Toc6176 </w:instrText>
          </w:r>
          <w:r>
            <w:rPr>
              <w:rFonts w:hint="eastAsia"/>
              <w:lang w:val="en-US" w:eastAsia="zh-CN"/>
            </w:rPr>
            <w:fldChar w:fldCharType="separate"/>
          </w:r>
          <w:r>
            <w:rPr>
              <w:rFonts w:hint="default"/>
              <w:lang w:val="en-US" w:eastAsia="zh-CN"/>
            </w:rPr>
            <w:t xml:space="preserve">1.1. </w:t>
          </w:r>
          <w:r>
            <w:rPr>
              <w:rFonts w:hint="eastAsia"/>
              <w:lang w:val="en-US" w:eastAsia="zh-CN"/>
            </w:rPr>
            <w:t>山珍海味</w:t>
          </w:r>
          <w:r>
            <w:tab/>
          </w:r>
          <w:r>
            <w:fldChar w:fldCharType="begin"/>
          </w:r>
          <w:r>
            <w:instrText xml:space="preserve"> PAGEREF _Toc6176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_Toc13472 </w:instrText>
          </w:r>
          <w:r>
            <w:rPr>
              <w:rFonts w:hint="eastAsia"/>
              <w:lang w:val="en-US" w:eastAsia="zh-CN"/>
            </w:rPr>
            <w:fldChar w:fldCharType="separate"/>
          </w:r>
          <w:r>
            <w:rPr>
              <w:rFonts w:hint="default"/>
              <w:lang w:val="en-US" w:eastAsia="zh-CN"/>
            </w:rPr>
            <w:t xml:space="preserve">2. </w:t>
          </w:r>
          <w:r>
            <w:rPr>
              <w:rFonts w:hint="eastAsia"/>
              <w:lang w:val="en-US" w:eastAsia="zh-CN"/>
            </w:rPr>
            <w:t>住所规格 不得逾越</w:t>
          </w:r>
          <w:r>
            <w:tab/>
          </w:r>
          <w:r>
            <w:fldChar w:fldCharType="begin"/>
          </w:r>
          <w:r>
            <w:instrText xml:space="preserve"> PAGEREF _Toc13472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_Toc27910 </w:instrText>
          </w:r>
          <w:r>
            <w:rPr>
              <w:rFonts w:hint="eastAsia"/>
              <w:lang w:val="en-US" w:eastAsia="zh-CN"/>
            </w:rPr>
            <w:fldChar w:fldCharType="separate"/>
          </w:r>
          <w:r>
            <w:rPr>
              <w:rFonts w:hint="default"/>
              <w:lang w:val="en-US" w:eastAsia="zh-CN"/>
            </w:rPr>
            <w:t xml:space="preserve">2.1. </w:t>
          </w:r>
          <w:r>
            <w:rPr>
              <w:rFonts w:hint="eastAsia"/>
              <w:lang w:val="en-US" w:eastAsia="zh-CN"/>
            </w:rPr>
            <w:t>行宫 ，避暑山庄</w:t>
          </w:r>
          <w:r>
            <w:tab/>
          </w:r>
          <w:r>
            <w:fldChar w:fldCharType="begin"/>
          </w:r>
          <w:r>
            <w:instrText xml:space="preserve"> PAGEREF _Toc27910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_Toc30925 </w:instrText>
          </w:r>
          <w:r>
            <w:rPr>
              <w:rFonts w:hint="eastAsia"/>
              <w:lang w:val="en-US" w:eastAsia="zh-CN"/>
            </w:rPr>
            <w:fldChar w:fldCharType="separate"/>
          </w:r>
          <w:r>
            <w:rPr>
              <w:rFonts w:hint="default"/>
              <w:lang w:val="en-US" w:eastAsia="zh-CN"/>
            </w:rPr>
            <w:t xml:space="preserve">3. </w:t>
          </w:r>
          <w:r>
            <w:rPr>
              <w:rFonts w:hint="eastAsia"/>
              <w:lang w:val="en-US" w:eastAsia="zh-CN"/>
            </w:rPr>
            <w:t>用语言 阿拉伯文  西班牙文</w:t>
          </w:r>
          <w:r>
            <w:tab/>
          </w:r>
          <w:r>
            <w:fldChar w:fldCharType="begin"/>
          </w:r>
          <w:r>
            <w:instrText xml:space="preserve"> PAGEREF _Toc30925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_Toc23170 </w:instrText>
          </w:r>
          <w:r>
            <w:rPr>
              <w:rFonts w:hint="eastAsia"/>
              <w:lang w:val="en-US" w:eastAsia="zh-CN"/>
            </w:rPr>
            <w:fldChar w:fldCharType="separate"/>
          </w:r>
          <w:r>
            <w:rPr>
              <w:rFonts w:hint="default"/>
              <w:lang w:val="en-US" w:eastAsia="zh-CN"/>
            </w:rPr>
            <w:t xml:space="preserve">3.1. </w:t>
          </w:r>
          <w:r>
            <w:rPr>
              <w:rFonts w:hint="eastAsia"/>
              <w:lang w:val="en-US" w:eastAsia="zh-CN"/>
            </w:rPr>
            <w:t>自我称呼  浮夸风  wewe  就是wo的意思。。</w:t>
          </w:r>
          <w:r>
            <w:tab/>
          </w:r>
          <w:r>
            <w:fldChar w:fldCharType="begin"/>
          </w:r>
          <w:r>
            <w:instrText xml:space="preserve"> PAGEREF _Toc23170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_Toc31357 </w:instrText>
          </w:r>
          <w:r>
            <w:rPr>
              <w:rFonts w:hint="eastAsia"/>
              <w:lang w:val="en-US" w:eastAsia="zh-CN"/>
            </w:rPr>
            <w:fldChar w:fldCharType="separate"/>
          </w:r>
          <w:r>
            <w:rPr>
              <w:rFonts w:hint="default"/>
              <w:lang w:val="en-US" w:eastAsia="zh-CN"/>
            </w:rPr>
            <w:t xml:space="preserve">3.2. </w:t>
          </w:r>
          <w:r>
            <w:rPr>
              <w:rFonts w:hint="eastAsia"/>
              <w:lang w:val="en-US" w:eastAsia="zh-CN"/>
            </w:rPr>
            <w:t>国王防伪签名 基线 王名圈</w:t>
          </w:r>
          <w:r>
            <w:tab/>
          </w:r>
          <w:r>
            <w:fldChar w:fldCharType="begin"/>
          </w:r>
          <w:r>
            <w:instrText xml:space="preserve"> PAGEREF _Toc31357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_Toc3756 </w:instrText>
          </w:r>
          <w:r>
            <w:rPr>
              <w:rFonts w:hint="eastAsia"/>
              <w:lang w:val="en-US" w:eastAsia="zh-CN"/>
            </w:rPr>
            <w:fldChar w:fldCharType="separate"/>
          </w:r>
          <w:r>
            <w:rPr>
              <w:rFonts w:hint="default"/>
              <w:lang w:val="en-US" w:eastAsia="zh-CN"/>
            </w:rPr>
            <w:t xml:space="preserve">4. </w:t>
          </w:r>
          <w:r>
            <w:rPr>
              <w:rFonts w:hint="eastAsia"/>
              <w:lang w:val="en-US" w:eastAsia="zh-CN"/>
            </w:rPr>
            <w:t>追求永久</w:t>
          </w:r>
          <w:r>
            <w:tab/>
          </w:r>
          <w:r>
            <w:fldChar w:fldCharType="begin"/>
          </w:r>
          <w:r>
            <w:instrText xml:space="preserve"> PAGEREF _Toc3756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_Toc27497 </w:instrText>
          </w:r>
          <w:r>
            <w:rPr>
              <w:rFonts w:hint="eastAsia"/>
              <w:lang w:val="en-US" w:eastAsia="zh-CN"/>
            </w:rPr>
            <w:fldChar w:fldCharType="separate"/>
          </w:r>
          <w:r>
            <w:rPr>
              <w:rFonts w:hint="default"/>
              <w:lang w:val="en-US" w:eastAsia="zh-CN"/>
            </w:rPr>
            <w:t xml:space="preserve">4.1. </w:t>
          </w:r>
          <w:r>
            <w:rPr>
              <w:rFonts w:hint="eastAsia"/>
              <w:lang w:val="en-US" w:eastAsia="zh-CN"/>
            </w:rPr>
            <w:t>石头info</w:t>
          </w:r>
          <w:r>
            <w:tab/>
          </w:r>
          <w:r>
            <w:fldChar w:fldCharType="begin"/>
          </w:r>
          <w:r>
            <w:instrText xml:space="preserve"> PAGEREF _Toc27497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_Toc26690 </w:instrText>
          </w:r>
          <w:r>
            <w:rPr>
              <w:rFonts w:hint="eastAsia"/>
              <w:lang w:val="en-US" w:eastAsia="zh-CN"/>
            </w:rPr>
            <w:fldChar w:fldCharType="separate"/>
          </w:r>
          <w:r>
            <w:rPr>
              <w:rFonts w:hint="default"/>
              <w:lang w:eastAsia="zh-CN"/>
            </w:rPr>
            <w:t xml:space="preserve">4.2. </w:t>
          </w:r>
          <w:r>
            <w:rPr>
              <w:rFonts w:hint="eastAsia"/>
              <w:lang w:eastAsia="zh-CN"/>
            </w:rPr>
            <w:t>后世传记</w:t>
          </w:r>
          <w:r>
            <w:tab/>
          </w:r>
          <w:r>
            <w:fldChar w:fldCharType="begin"/>
          </w:r>
          <w:r>
            <w:instrText xml:space="preserve"> PAGEREF _Toc26690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_Toc23481 </w:instrText>
          </w:r>
          <w:r>
            <w:rPr>
              <w:rFonts w:hint="eastAsia"/>
              <w:lang w:val="en-US" w:eastAsia="zh-CN"/>
            </w:rPr>
            <w:fldChar w:fldCharType="separate"/>
          </w:r>
          <w:r>
            <w:rPr>
              <w:rFonts w:hint="default"/>
              <w:lang w:eastAsia="zh-CN"/>
            </w:rPr>
            <w:t xml:space="preserve">5. </w:t>
          </w:r>
          <w:r>
            <w:rPr>
              <w:rFonts w:hint="eastAsia"/>
              <w:lang w:eastAsia="zh-CN"/>
            </w:rPr>
            <w:t>后世传记</w:t>
          </w:r>
          <w:r>
            <w:tab/>
          </w:r>
          <w:r>
            <w:fldChar w:fldCharType="begin"/>
          </w:r>
          <w:r>
            <w:instrText xml:space="preserve"> PAGEREF _Toc23481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_Toc6589 </w:instrText>
          </w:r>
          <w:r>
            <w:rPr>
              <w:rFonts w:hint="eastAsia"/>
              <w:lang w:val="en-US" w:eastAsia="zh-CN"/>
            </w:rPr>
            <w:fldChar w:fldCharType="separate"/>
          </w:r>
          <w:r>
            <w:rPr>
              <w:rFonts w:hint="default"/>
              <w:lang w:eastAsia="zh-CN"/>
            </w:rPr>
            <w:t xml:space="preserve">5.1. </w:t>
          </w:r>
          <w:r>
            <w:rPr>
              <w:rFonts w:hint="eastAsia"/>
              <w:lang w:eastAsia="zh-CN"/>
            </w:rPr>
            <w:t>哲学皇帝启示录</w:t>
          </w:r>
          <w:r>
            <w:tab/>
          </w:r>
          <w:r>
            <w:fldChar w:fldCharType="begin"/>
          </w:r>
          <w:r>
            <w:instrText xml:space="preserve"> PAGEREF _Toc6589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_Toc21289 </w:instrText>
          </w:r>
          <w:r>
            <w:rPr>
              <w:rFonts w:hint="eastAsia"/>
              <w:lang w:val="en-US" w:eastAsia="zh-CN"/>
            </w:rPr>
            <w:fldChar w:fldCharType="separate"/>
          </w:r>
          <w:r>
            <w:rPr>
              <w:rFonts w:hint="default"/>
              <w:lang w:val="en-US" w:eastAsia="zh-CN"/>
            </w:rPr>
            <w:t xml:space="preserve">5.2. </w:t>
          </w:r>
          <w:r>
            <w:rPr>
              <w:rFonts w:hint="eastAsia"/>
              <w:lang w:eastAsia="zh-CN"/>
            </w:rPr>
            <w:t>穆天子传</w:t>
          </w:r>
          <w:r>
            <w:rPr>
              <w:rFonts w:hint="eastAsia"/>
              <w:lang w:val="en-US" w:eastAsia="zh-CN"/>
            </w:rPr>
            <w:t xml:space="preserve"> 游记</w:t>
          </w:r>
          <w:r>
            <w:tab/>
          </w:r>
          <w:r>
            <w:fldChar w:fldCharType="begin"/>
          </w:r>
          <w:r>
            <w:instrText xml:space="preserve"> PAGEREF _Toc21289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_Toc22121 </w:instrText>
          </w:r>
          <w:r>
            <w:rPr>
              <w:rFonts w:hint="eastAsia"/>
              <w:lang w:val="en-US" w:eastAsia="zh-CN"/>
            </w:rPr>
            <w:fldChar w:fldCharType="separate"/>
          </w:r>
          <w:r>
            <w:rPr>
              <w:rFonts w:hint="default"/>
              <w:lang w:val="en-US" w:eastAsia="zh-CN"/>
            </w:rPr>
            <w:t xml:space="preserve">6. </w:t>
          </w:r>
          <w:r>
            <w:rPr>
              <w:rFonts w:hint="eastAsia"/>
              <w:lang w:eastAsia="zh-CN"/>
            </w:rPr>
            <w:t>高大上工程</w:t>
          </w:r>
          <w:r>
            <w:tab/>
          </w:r>
          <w:r>
            <w:fldChar w:fldCharType="begin"/>
          </w:r>
          <w:r>
            <w:instrText xml:space="preserve"> PAGEREF _Toc22121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_Toc24656 </w:instrText>
          </w:r>
          <w:r>
            <w:rPr>
              <w:rFonts w:hint="eastAsia"/>
              <w:lang w:val="en-US" w:eastAsia="zh-CN"/>
            </w:rPr>
            <w:fldChar w:fldCharType="separate"/>
          </w:r>
          <w:r>
            <w:rPr>
              <w:rFonts w:hint="default"/>
              <w:lang w:val="en-US" w:eastAsia="zh-CN"/>
            </w:rPr>
            <w:t xml:space="preserve">7. </w:t>
          </w:r>
          <w:r>
            <w:rPr>
              <w:rFonts w:hint="eastAsia"/>
              <w:lang w:val="en-US" w:eastAsia="zh-CN"/>
            </w:rPr>
            <w:t>other</w:t>
          </w:r>
          <w:r>
            <w:tab/>
          </w:r>
          <w:r>
            <w:fldChar w:fldCharType="begin"/>
          </w:r>
          <w:r>
            <w:instrText xml:space="preserve"> PAGEREF _Toc24656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9926"/>
      <w:r>
        <w:rPr>
          <w:rFonts w:hint="eastAsia"/>
          <w:lang w:val="en-US" w:eastAsia="zh-CN"/>
        </w:rPr>
        <w:t>帝王的衣食住行规格</w:t>
      </w:r>
      <w:bookmarkEnd w:id="0"/>
    </w:p>
    <w:p>
      <w:pPr>
        <w:rPr>
          <w:rFonts w:hint="eastAsia"/>
          <w:lang w:val="en-US" w:eastAsia="zh-CN"/>
        </w:rPr>
      </w:pPr>
    </w:p>
    <w:p>
      <w:pPr>
        <w:pStyle w:val="3"/>
        <w:bidi w:val="0"/>
        <w:rPr>
          <w:rFonts w:hint="eastAsia"/>
          <w:lang w:val="en-US" w:eastAsia="zh-CN"/>
        </w:rPr>
      </w:pPr>
      <w:bookmarkStart w:id="1" w:name="_Toc6176"/>
      <w:r>
        <w:rPr>
          <w:rFonts w:hint="eastAsia"/>
          <w:lang w:val="en-US" w:eastAsia="zh-CN"/>
        </w:rPr>
        <w:t>山珍海味</w:t>
      </w:r>
      <w:bookmarkEnd w:id="1"/>
      <w:r>
        <w:rPr>
          <w:rFonts w:hint="eastAsia"/>
          <w:lang w:val="en-US" w:eastAsia="zh-CN"/>
        </w:rPr>
        <w:tab/>
      </w:r>
    </w:p>
    <w:p>
      <w:pPr>
        <w:tabs>
          <w:tab w:val="left" w:pos="1521"/>
        </w:tabs>
        <w:rPr>
          <w:rFonts w:hint="eastAsia"/>
          <w:lang w:val="en-US" w:eastAsia="zh-CN"/>
        </w:rPr>
      </w:pPr>
    </w:p>
    <w:p>
      <w:pPr>
        <w:pStyle w:val="2"/>
        <w:bidi w:val="0"/>
        <w:rPr>
          <w:rFonts w:hint="eastAsia"/>
          <w:lang w:val="en-US" w:eastAsia="zh-CN"/>
        </w:rPr>
      </w:pPr>
      <w:bookmarkStart w:id="2" w:name="_Toc13472"/>
      <w:r>
        <w:rPr>
          <w:rFonts w:hint="eastAsia"/>
          <w:lang w:val="en-US" w:eastAsia="zh-CN"/>
        </w:rPr>
        <w:t>住所规格 不得逾越</w:t>
      </w:r>
      <w:bookmarkEnd w:id="2"/>
    </w:p>
    <w:p>
      <w:pPr>
        <w:tabs>
          <w:tab w:val="left" w:pos="1521"/>
        </w:tabs>
        <w:rPr>
          <w:rFonts w:hint="default"/>
          <w:lang w:val="en-US" w:eastAsia="zh-CN"/>
        </w:rPr>
      </w:pPr>
      <w:r>
        <w:rPr>
          <w:rFonts w:hint="eastAsia"/>
          <w:lang w:val="en-US" w:eastAsia="zh-CN"/>
        </w:rPr>
        <w:t xml:space="preserve"> </w:t>
      </w:r>
    </w:p>
    <w:p>
      <w:pPr>
        <w:pStyle w:val="3"/>
        <w:bidi w:val="0"/>
        <w:ind w:left="575" w:leftChars="0" w:hanging="575" w:firstLineChars="0"/>
        <w:rPr>
          <w:rFonts w:hint="default"/>
          <w:lang w:val="en-US" w:eastAsia="zh-CN"/>
        </w:rPr>
      </w:pPr>
      <w:bookmarkStart w:id="3" w:name="_Toc27910"/>
      <w:r>
        <w:rPr>
          <w:rFonts w:hint="eastAsia"/>
          <w:lang w:val="en-US" w:eastAsia="zh-CN"/>
        </w:rPr>
        <w:t>行宫 ，避暑山庄</w:t>
      </w:r>
      <w:bookmarkEnd w:id="3"/>
    </w:p>
    <w:p>
      <w:pPr>
        <w:rPr>
          <w:rFonts w:hint="eastAsia"/>
          <w:lang w:val="en-US" w:eastAsia="zh-CN"/>
        </w:rPr>
      </w:pPr>
    </w:p>
    <w:p>
      <w:pPr>
        <w:pStyle w:val="2"/>
        <w:bidi w:val="0"/>
        <w:rPr>
          <w:rFonts w:hint="eastAsia"/>
          <w:lang w:val="en-US" w:eastAsia="zh-CN"/>
        </w:rPr>
      </w:pPr>
      <w:bookmarkStart w:id="4" w:name="_Toc30925"/>
      <w:r>
        <w:rPr>
          <w:rFonts w:hint="eastAsia"/>
          <w:lang w:val="en-US" w:eastAsia="zh-CN"/>
        </w:rPr>
        <w:t>用语言 阿拉伯文  西班牙文</w:t>
      </w:r>
      <w:bookmarkEnd w:id="4"/>
      <w:r>
        <w:rPr>
          <w:rFonts w:hint="eastAsia"/>
          <w:lang w:val="en-US" w:eastAsia="zh-CN"/>
        </w:rPr>
        <w:t xml:space="preserve">  </w:t>
      </w:r>
    </w:p>
    <w:p>
      <w:pPr>
        <w:rPr>
          <w:rFonts w:hint="eastAsia"/>
          <w:lang w:val="en-US" w:eastAsia="zh-CN"/>
        </w:rPr>
      </w:pPr>
    </w:p>
    <w:p>
      <w:pPr>
        <w:pStyle w:val="3"/>
        <w:bidi w:val="0"/>
        <w:rPr>
          <w:rFonts w:hint="default"/>
          <w:lang w:val="en-US" w:eastAsia="zh-CN"/>
        </w:rPr>
      </w:pPr>
      <w:bookmarkStart w:id="5" w:name="_Toc23170"/>
      <w:r>
        <w:rPr>
          <w:rFonts w:hint="eastAsia"/>
          <w:lang w:val="en-US" w:eastAsia="zh-CN"/>
        </w:rPr>
        <w:t>自我称呼  浮夸风  wewe  就是wo的意思。。</w:t>
      </w:r>
      <w:bookmarkEnd w:id="5"/>
    </w:p>
    <w:p>
      <w:pPr>
        <w:pStyle w:val="3"/>
        <w:bidi w:val="0"/>
        <w:rPr>
          <w:rFonts w:hint="eastAsia"/>
          <w:lang w:val="en-US" w:eastAsia="zh-CN"/>
        </w:rPr>
      </w:pPr>
      <w:bookmarkStart w:id="6" w:name="_Toc31357"/>
      <w:r>
        <w:rPr>
          <w:rFonts w:hint="eastAsia"/>
          <w:lang w:val="en-US" w:eastAsia="zh-CN"/>
        </w:rPr>
        <w:t>国王防伪签名 基线 王名圈</w:t>
      </w:r>
      <w:bookmarkEnd w:id="6"/>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31"/>
          <w:szCs w:val="31"/>
          <w:shd w:val="clear" w:fill="F0F0F0"/>
        </w:rPr>
        <w:t>的，将法老的权威与宇宙的控制权等同起来。这使得达内尔得出结论称，该铭文是一个皇家边界标志，宣称国家对该地区的统治，这就像是一个路标指示牌。沿着这条道路行驶的游客们会知道他们正在进入一个古埃及皇家权威领地，此外，他们还发现埃及文字的发展速度比之前预想得更快。</w:t>
      </w:r>
    </w:p>
    <w:p>
      <w:pPr>
        <w:pStyle w:val="2"/>
        <w:bidi w:val="0"/>
        <w:rPr>
          <w:rFonts w:hint="default"/>
          <w:lang w:val="en-US" w:eastAsia="zh-CN"/>
        </w:rPr>
      </w:pPr>
      <w:bookmarkStart w:id="7" w:name="_Toc3756"/>
      <w:r>
        <w:rPr>
          <w:rFonts w:hint="eastAsia"/>
          <w:lang w:val="en-US" w:eastAsia="zh-CN"/>
        </w:rPr>
        <w:t>追求永久</w:t>
      </w:r>
      <w:bookmarkEnd w:id="7"/>
    </w:p>
    <w:p>
      <w:pPr>
        <w:pStyle w:val="3"/>
        <w:bidi w:val="0"/>
        <w:rPr>
          <w:rFonts w:hint="default"/>
          <w:lang w:val="en-US" w:eastAsia="zh-CN"/>
        </w:rPr>
      </w:pPr>
      <w:bookmarkStart w:id="8" w:name="_Toc27497"/>
      <w:r>
        <w:rPr>
          <w:rFonts w:hint="eastAsia"/>
          <w:lang w:val="en-US" w:eastAsia="zh-CN"/>
        </w:rPr>
        <w:t>石头info</w:t>
      </w:r>
      <w:bookmarkEnd w:id="8"/>
      <w:r>
        <w:rPr>
          <w:rFonts w:hint="eastAsia"/>
          <w:lang w:val="en-US" w:eastAsia="zh-CN"/>
        </w:rPr>
        <w:t xml:space="preserve"> 各种石碑</w:t>
      </w:r>
    </w:p>
    <w:p>
      <w:pPr>
        <w:rPr>
          <w:rFonts w:ascii="微软雅黑" w:hAnsi="微软雅黑" w:eastAsia="微软雅黑" w:cs="微软雅黑"/>
          <w:b/>
          <w:i w:val="0"/>
          <w:caps w:val="0"/>
          <w:color w:val="1A1A1A"/>
          <w:spacing w:val="0"/>
          <w:sz w:val="22"/>
          <w:szCs w:val="22"/>
          <w:shd w:val="clear" w:fill="FFFFFF"/>
        </w:rPr>
      </w:pPr>
      <w:r>
        <w:rPr>
          <w:rFonts w:ascii="微软雅黑" w:hAnsi="微软雅黑" w:eastAsia="微软雅黑" w:cs="微软雅黑"/>
          <w:b/>
          <w:i w:val="0"/>
          <w:caps w:val="0"/>
          <w:color w:val="1A1A1A"/>
          <w:spacing w:val="0"/>
          <w:sz w:val="22"/>
          <w:szCs w:val="22"/>
          <w:shd w:val="clear" w:fill="FFFFFF"/>
        </w:rPr>
        <w:t>玉器和金属的替代品不会腐烂，所以，多用这样材质，但是，绝对不会在生活现实中应用的。</w:t>
      </w:r>
    </w:p>
    <w:p>
      <w:pPr>
        <w:rPr>
          <w:rFonts w:hint="default" w:ascii="微软雅黑" w:hAnsi="微软雅黑" w:eastAsia="微软雅黑" w:cs="微软雅黑"/>
          <w:b/>
          <w:i w:val="0"/>
          <w:caps w:val="0"/>
          <w:color w:val="1A1A1A"/>
          <w:spacing w:val="0"/>
          <w:sz w:val="22"/>
          <w:szCs w:val="22"/>
          <w:shd w:val="clear" w:fill="FFFFFF"/>
          <w:lang w:val="en-US" w:eastAsia="zh-CN"/>
        </w:rPr>
      </w:pPr>
      <w:r>
        <w:rPr>
          <w:rFonts w:hint="eastAsia" w:ascii="微软雅黑" w:hAnsi="微软雅黑" w:eastAsia="微软雅黑" w:cs="微软雅黑"/>
          <w:b/>
          <w:i w:val="0"/>
          <w:caps w:val="0"/>
          <w:color w:val="1A1A1A"/>
          <w:spacing w:val="0"/>
          <w:sz w:val="22"/>
          <w:szCs w:val="22"/>
          <w:shd w:val="clear" w:fill="FFFFFF"/>
          <w:lang w:eastAsia="zh-CN"/>
        </w:rPr>
        <w:t>为了防止名字搽去，字符深达</w:t>
      </w:r>
      <w:r>
        <w:rPr>
          <w:rFonts w:hint="eastAsia" w:ascii="微软雅黑" w:hAnsi="微软雅黑" w:eastAsia="微软雅黑" w:cs="微软雅黑"/>
          <w:b/>
          <w:i w:val="0"/>
          <w:caps w:val="0"/>
          <w:color w:val="1A1A1A"/>
          <w:spacing w:val="0"/>
          <w:sz w:val="22"/>
          <w:szCs w:val="22"/>
          <w:shd w:val="clear" w:fill="FFFFFF"/>
          <w:lang w:val="en-US" w:eastAsia="zh-CN"/>
        </w:rPr>
        <w:t>1一尺</w:t>
      </w:r>
    </w:p>
    <w:p>
      <w:pPr>
        <w:rPr>
          <w:rFonts w:ascii="Microsoft JhengHei" w:hAnsi="Microsoft JhengHei" w:eastAsia="Microsoft JhengHei" w:cs="Microsoft JhengHei"/>
          <w:i w:val="0"/>
          <w:caps w:val="0"/>
          <w:color w:val="000000"/>
          <w:spacing w:val="0"/>
          <w:sz w:val="27"/>
          <w:szCs w:val="27"/>
          <w:shd w:val="clear" w:fill="FFFFFF"/>
        </w:rPr>
      </w:pPr>
      <w:r>
        <w:rPr>
          <w:rFonts w:ascii="Microsoft JhengHei" w:hAnsi="Microsoft JhengHei" w:eastAsia="Microsoft JhengHei" w:cs="Microsoft JhengHei"/>
          <w:i w:val="0"/>
          <w:caps w:val="0"/>
          <w:color w:val="000000"/>
          <w:spacing w:val="0"/>
          <w:sz w:val="27"/>
          <w:szCs w:val="27"/>
          <w:shd w:val="clear" w:fill="FFFFFF"/>
        </w:rPr>
        <w:t>圣经考古文物之一，这座高约1米的黑色玄武岩「米沙石碑」，又称为「摩押石」，其正面的34行铭文，记载了圣经中有关以色列人与摩押人争战的事件。</w:t>
      </w:r>
    </w:p>
    <w:p>
      <w:pPr>
        <w:rPr>
          <w:rFonts w:hint="eastAsia" w:ascii="Microsoft JhengHei" w:hAnsi="Microsoft JhengHei" w:eastAsia="宋体" w:cs="Microsoft JhengHei"/>
          <w:i w:val="0"/>
          <w:caps w:val="0"/>
          <w:color w:val="000000"/>
          <w:spacing w:val="0"/>
          <w:sz w:val="27"/>
          <w:szCs w:val="27"/>
          <w:shd w:val="clear" w:fill="FFFFFF"/>
          <w:lang w:eastAsia="zh-CN"/>
        </w:rPr>
      </w:pPr>
      <w:r>
        <w:rPr>
          <w:rFonts w:hint="eastAsia" w:ascii="Microsoft JhengHei" w:hAnsi="Microsoft JhengHei" w:eastAsia="宋体" w:cs="Microsoft JhengHei"/>
          <w:i w:val="0"/>
          <w:caps w:val="0"/>
          <w:color w:val="000000"/>
          <w:spacing w:val="0"/>
          <w:sz w:val="27"/>
          <w:szCs w:val="27"/>
          <w:shd w:val="clear" w:fill="FFFFFF"/>
          <w:lang w:eastAsia="zh-CN"/>
        </w:rPr>
        <w:t>马赛克艺术</w:t>
      </w:r>
      <w:bookmarkStart w:id="15" w:name="_GoBack"/>
      <w:bookmarkEnd w:id="15"/>
    </w:p>
    <w:p>
      <w:pPr>
        <w:pStyle w:val="3"/>
        <w:bidi w:val="0"/>
        <w:rPr>
          <w:rFonts w:hint="eastAsia"/>
          <w:lang w:eastAsia="zh-CN"/>
        </w:rPr>
      </w:pPr>
      <w:bookmarkStart w:id="9" w:name="_Toc26690"/>
      <w:r>
        <w:rPr>
          <w:rFonts w:hint="eastAsia"/>
          <w:lang w:eastAsia="zh-CN"/>
        </w:rPr>
        <w:t>后世传记</w:t>
      </w:r>
      <w:bookmarkEnd w:id="9"/>
    </w:p>
    <w:p>
      <w:pPr>
        <w:pStyle w:val="2"/>
        <w:bidi w:val="0"/>
        <w:rPr>
          <w:rFonts w:hint="eastAsia"/>
          <w:lang w:eastAsia="zh-CN"/>
        </w:rPr>
      </w:pPr>
      <w:bookmarkStart w:id="10" w:name="_Toc23481"/>
      <w:r>
        <w:rPr>
          <w:rFonts w:hint="eastAsia"/>
          <w:lang w:eastAsia="zh-CN"/>
        </w:rPr>
        <w:t>后世传记</w:t>
      </w:r>
      <w:bookmarkEnd w:id="10"/>
    </w:p>
    <w:p>
      <w:pPr>
        <w:pStyle w:val="3"/>
        <w:bidi w:val="0"/>
        <w:rPr>
          <w:rFonts w:hint="eastAsia"/>
          <w:lang w:eastAsia="zh-CN"/>
        </w:rPr>
      </w:pPr>
      <w:bookmarkStart w:id="11" w:name="_Toc6589"/>
      <w:r>
        <w:rPr>
          <w:rFonts w:hint="eastAsia"/>
          <w:lang w:eastAsia="zh-CN"/>
        </w:rPr>
        <w:t>哲学皇帝启示录</w:t>
      </w:r>
      <w:bookmarkEnd w:id="11"/>
    </w:p>
    <w:p>
      <w:pPr>
        <w:pStyle w:val="3"/>
        <w:bidi w:val="0"/>
        <w:rPr>
          <w:rFonts w:hint="default"/>
          <w:lang w:val="en-US" w:eastAsia="zh-CN"/>
        </w:rPr>
      </w:pPr>
      <w:bookmarkStart w:id="12" w:name="_Toc21289"/>
      <w:r>
        <w:rPr>
          <w:rFonts w:hint="eastAsia"/>
          <w:lang w:eastAsia="zh-CN"/>
        </w:rPr>
        <w:t>穆天子传</w:t>
      </w:r>
      <w:r>
        <w:rPr>
          <w:rFonts w:hint="eastAsia"/>
          <w:lang w:val="en-US" w:eastAsia="zh-CN"/>
        </w:rPr>
        <w:t xml:space="preserve"> 游记</w:t>
      </w:r>
      <w:bookmarkEnd w:id="12"/>
    </w:p>
    <w:p>
      <w:pPr>
        <w:rPr>
          <w:rFonts w:ascii="微软雅黑" w:hAnsi="微软雅黑" w:eastAsia="微软雅黑" w:cs="微软雅黑"/>
          <w:i w:val="0"/>
          <w:caps w:val="0"/>
          <w:color w:val="1A1A1A"/>
          <w:spacing w:val="0"/>
          <w:sz w:val="22"/>
          <w:szCs w:val="22"/>
          <w:shd w:val="clear" w:fill="FFFFFF"/>
        </w:rPr>
      </w:pPr>
      <w:r>
        <w:rPr>
          <w:rFonts w:ascii="微软雅黑" w:hAnsi="微软雅黑" w:eastAsia="微软雅黑" w:cs="微软雅黑"/>
          <w:i w:val="0"/>
          <w:caps w:val="0"/>
          <w:color w:val="1A1A1A"/>
          <w:spacing w:val="0"/>
          <w:sz w:val="22"/>
          <w:szCs w:val="22"/>
          <w:shd w:val="clear" w:fill="FFFFFF"/>
        </w:rPr>
        <w:t>记录柬埔寨的巨著《真腊风土记》</w:t>
      </w:r>
    </w:p>
    <w:p>
      <w:pPr>
        <w:rPr>
          <w:rFonts w:ascii="微软雅黑" w:hAnsi="微软雅黑" w:eastAsia="微软雅黑" w:cs="微软雅黑"/>
          <w:i w:val="0"/>
          <w:caps w:val="0"/>
          <w:color w:val="1A1A1A"/>
          <w:spacing w:val="0"/>
          <w:sz w:val="22"/>
          <w:szCs w:val="22"/>
          <w:shd w:val="clear" w:fill="FFFFFF"/>
        </w:rPr>
      </w:pPr>
    </w:p>
    <w:p>
      <w:pPr>
        <w:pStyle w:val="2"/>
        <w:bidi w:val="0"/>
        <w:rPr>
          <w:rFonts w:hint="eastAsia"/>
          <w:lang w:val="en-US" w:eastAsia="zh-CN"/>
        </w:rPr>
      </w:pPr>
      <w:bookmarkStart w:id="13" w:name="_Toc22121"/>
      <w:r>
        <w:rPr>
          <w:rFonts w:hint="eastAsia"/>
          <w:lang w:eastAsia="zh-CN"/>
        </w:rPr>
        <w:t>高大上工程</w:t>
      </w:r>
      <w:bookmarkEnd w:id="13"/>
    </w:p>
    <w:p>
      <w:pPr>
        <w:pStyle w:val="2"/>
        <w:bidi w:val="0"/>
        <w:rPr>
          <w:rFonts w:hint="default"/>
          <w:lang w:val="en-US" w:eastAsia="zh-CN"/>
        </w:rPr>
      </w:pPr>
      <w:bookmarkStart w:id="14" w:name="_Toc24656"/>
      <w:r>
        <w:rPr>
          <w:rFonts w:hint="eastAsia"/>
          <w:lang w:val="en-US" w:eastAsia="zh-CN"/>
        </w:rPr>
        <w:t>other</w:t>
      </w:r>
      <w:bookmarkEnd w:id="14"/>
    </w:p>
    <w:p>
      <w:pPr>
        <w:rPr>
          <w:rFonts w:hint="eastAsia"/>
          <w:lang w:val="en-US" w:eastAsia="zh-CN"/>
        </w:rPr>
      </w:pPr>
      <w:r>
        <w:rPr>
          <w:rFonts w:ascii="微软雅黑" w:hAnsi="微软雅黑" w:eastAsia="微软雅黑" w:cs="微软雅黑"/>
          <w:i w:val="0"/>
          <w:caps w:val="0"/>
          <w:color w:val="1A1A1A"/>
          <w:spacing w:val="0"/>
          <w:sz w:val="22"/>
          <w:szCs w:val="22"/>
          <w:shd w:val="clear" w:fill="FFFFFF"/>
        </w:rPr>
        <w:t>帝王才有墓葬规格。</w:t>
      </w:r>
    </w:p>
    <w:p>
      <w:pPr>
        <w:rPr>
          <w:rFonts w:hint="eastAsia"/>
          <w:lang w:val="en-US" w:eastAsia="zh-CN"/>
        </w:rPr>
      </w:pPr>
    </w:p>
    <w:p>
      <w:pPr>
        <w:rPr>
          <w:rFonts w:hint="eastAsia"/>
          <w:lang w:val="en-US" w:eastAsia="zh-CN"/>
        </w:rPr>
      </w:pPr>
      <w:r>
        <w:rPr>
          <w:rFonts w:hint="eastAsia"/>
          <w:lang w:val="en-US" w:eastAsia="zh-CN"/>
        </w:rPr>
        <w:t>登基定年号</w:t>
      </w:r>
    </w:p>
    <w:p>
      <w:pPr>
        <w:rPr>
          <w:rFonts w:hint="eastAsia"/>
          <w:lang w:val="en-US" w:eastAsia="zh-CN"/>
        </w:rPr>
      </w:pPr>
      <w:r>
        <w:rPr>
          <w:rFonts w:hint="eastAsia"/>
          <w:lang w:val="en-US" w:eastAsia="zh-CN"/>
        </w:rPr>
        <w:t xml:space="preserve">大赦天下  </w:t>
      </w:r>
    </w:p>
    <w:p>
      <w:pPr>
        <w:rPr>
          <w:rFonts w:hint="eastAsia"/>
          <w:lang w:val="en-US" w:eastAsia="zh-CN"/>
        </w:rPr>
      </w:pPr>
      <w:r>
        <w:rPr>
          <w:rFonts w:hint="eastAsia"/>
          <w:lang w:val="en-US" w:eastAsia="zh-CN"/>
        </w:rPr>
        <w:t>风扇泰山</w:t>
      </w:r>
    </w:p>
    <w:p>
      <w:pPr>
        <w:rPr>
          <w:rFonts w:hint="eastAsia"/>
          <w:lang w:val="en-US" w:eastAsia="zh-CN"/>
        </w:rPr>
      </w:pPr>
    </w:p>
    <w:p>
      <w:pPr>
        <w:pStyle w:val="2"/>
        <w:bidi w:val="0"/>
        <w:rPr>
          <w:rFonts w:hint="default"/>
          <w:lang w:val="en-US" w:eastAsia="zh-CN"/>
        </w:rPr>
      </w:pPr>
      <w:r>
        <w:rPr>
          <w:rFonts w:hint="eastAsia"/>
          <w:lang w:val="en-US" w:eastAsia="zh-CN"/>
        </w:rPr>
        <w:t>使用稀有之物  或 骨骼人体类</w:t>
      </w:r>
    </w:p>
    <w:p>
      <w:pPr>
        <w:rPr>
          <w:rFonts w:hint="eastAsia"/>
          <w:lang w:val="en-US" w:eastAsia="zh-CN"/>
        </w:rPr>
      </w:pPr>
      <w:r>
        <w:rPr>
          <w:rFonts w:hint="eastAsia"/>
          <w:lang w:val="en-US" w:eastAsia="zh-CN"/>
        </w:rPr>
        <w:t>西藏人古骨头文化然日用品</w:t>
      </w:r>
    </w:p>
    <w:p>
      <w:pPr>
        <w:rPr>
          <w:rFonts w:hint="default"/>
          <w:lang w:val="en-US" w:eastAsia="zh-CN"/>
        </w:rPr>
      </w:pPr>
      <w:r>
        <w:rPr>
          <w:rFonts w:hint="eastAsia"/>
          <w:lang w:val="en-US" w:eastAsia="zh-CN"/>
        </w:rPr>
        <w:t>仙人指路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983B1"/>
    <w:multiLevelType w:val="multilevel"/>
    <w:tmpl w:val="327983B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21008"/>
    <w:rsid w:val="008A31C2"/>
    <w:rsid w:val="04F00634"/>
    <w:rsid w:val="05D019AF"/>
    <w:rsid w:val="09047DCB"/>
    <w:rsid w:val="0A270B1C"/>
    <w:rsid w:val="0B0667B9"/>
    <w:rsid w:val="0DBE4A86"/>
    <w:rsid w:val="1CA3189F"/>
    <w:rsid w:val="1F575A8F"/>
    <w:rsid w:val="22C755D5"/>
    <w:rsid w:val="325A47A6"/>
    <w:rsid w:val="32F80CF8"/>
    <w:rsid w:val="34622438"/>
    <w:rsid w:val="36495BA4"/>
    <w:rsid w:val="374A0E35"/>
    <w:rsid w:val="46156D99"/>
    <w:rsid w:val="526A0074"/>
    <w:rsid w:val="53E06290"/>
    <w:rsid w:val="54421008"/>
    <w:rsid w:val="58946039"/>
    <w:rsid w:val="58F65375"/>
    <w:rsid w:val="649D4887"/>
    <w:rsid w:val="67500EFE"/>
    <w:rsid w:val="6AF23D07"/>
    <w:rsid w:val="6E6F4611"/>
    <w:rsid w:val="791A1291"/>
    <w:rsid w:val="7C433A15"/>
    <w:rsid w:val="7EA82474"/>
    <w:rsid w:val="7F7B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2020-05-29T09:07:00Z</dcterms:created>
  <dc:creator>Administrator</dc:creator>
  <cp:lastModifiedBy>Administrator</cp:lastModifiedBy>
  <dcterms:modified xsi:type="dcterms:W3CDTF">2020-05-29T10:17:23Z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