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Atittt 外商投资法  引进外资法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严禁主权让渡 保障人身自由和劳动法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如果经理职位，可以让渡部分主权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劳动法不那么保障可以。。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可以让外资赚取大部分利润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B2B2B"/>
          <w:spacing w:val="0"/>
          <w:sz w:val="21"/>
          <w:szCs w:val="21"/>
          <w:shd w:val="clear" w:fill="F9F9F9"/>
        </w:rPr>
        <w:t>外国企业根据净利所交的35%税额归国家所有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6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外商投资法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实施条例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26A90"/>
    <w:rsid w:val="0351164F"/>
    <w:rsid w:val="13D26052"/>
    <w:rsid w:val="14FF4FDA"/>
    <w:rsid w:val="17FC39B9"/>
    <w:rsid w:val="46FF23C8"/>
    <w:rsid w:val="47395F5D"/>
    <w:rsid w:val="47A81573"/>
    <w:rsid w:val="6455564F"/>
    <w:rsid w:val="6F476730"/>
    <w:rsid w:val="72B26A90"/>
    <w:rsid w:val="7ED9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2021-10-13T06:26:00Z</dcterms:created>
  <dc:creator>ati</dc:creator>
  <cp:lastModifiedBy>ati</cp:lastModifiedBy>
  <dcterms:modified xsi:type="dcterms:W3CDTF">2021-10-13T09:23:36Z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266F9CF7ECA4460889F6FB7C84F81BE4</vt:lpwstr>
  </property>
</Properties>
</file>