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Attt 金融制裁 线上资产冻结之预案Financial Sanctions Asset Freeze Plan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8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建立</w:t>
          </w:r>
          <w:r>
            <w:t>外汇</w:t>
          </w:r>
          <w:r>
            <w:rPr>
              <w:rFonts w:hint="eastAsia"/>
              <w:lang w:val="en-US" w:eastAsia="zh-CN"/>
            </w:rPr>
            <w:t>储备</w:t>
          </w:r>
          <w:r>
            <w:tab/>
          </w:r>
          <w:r>
            <w:fldChar w:fldCharType="begin"/>
          </w:r>
          <w:r>
            <w:instrText xml:space="preserve"> PAGEREF _Toc13274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外汇储备规模 3w rmb</w:t>
          </w:r>
          <w:r>
            <w:tab/>
          </w:r>
          <w:r>
            <w:fldChar w:fldCharType="begin"/>
          </w:r>
          <w:r>
            <w:instrText xml:space="preserve"> PAGEREF _Toc13844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多货币组合（美元比索rmb usdt  欧元</w:t>
          </w:r>
          <w:r>
            <w:tab/>
          </w:r>
          <w:r>
            <w:fldChar w:fldCharType="begin"/>
          </w:r>
          <w:r>
            <w:instrText xml:space="preserve"> PAGEREF _Toc9989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储备物资 交易物资 金融安全外汇储备</w:t>
          </w:r>
          <w:r>
            <w:tab/>
          </w:r>
          <w:r>
            <w:fldChar w:fldCharType="begin"/>
          </w:r>
          <w:r>
            <w:instrText xml:space="preserve"> PAGEREF _Toc23299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黄金等贵金属储备</w:t>
          </w:r>
          <w:r>
            <w:tab/>
          </w:r>
          <w:r>
            <w:fldChar w:fldCharType="begin"/>
          </w:r>
          <w:r>
            <w:instrText xml:space="preserve"> PAGEREF _Toc8583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储备</w:t>
          </w:r>
          <w:r>
            <w:rPr>
              <w:rFonts w:hint="eastAsia"/>
              <w:lang w:val="en-US" w:eastAsia="zh-CN"/>
            </w:rPr>
            <w:t>金融</w:t>
          </w:r>
          <w:r>
            <w:rPr>
              <w:rFonts w:hint="default"/>
              <w:lang w:val="en-US" w:eastAsia="zh-CN"/>
            </w:rPr>
            <w:t>物资</w:t>
          </w:r>
          <w:r>
            <w:tab/>
          </w:r>
          <w:r>
            <w:fldChar w:fldCharType="begin"/>
          </w:r>
          <w:r>
            <w:instrText xml:space="preserve"> PAGEREF _Toc435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手机 充电宝</w:t>
          </w:r>
          <w:r>
            <w:tab/>
          </w:r>
          <w:r>
            <w:fldChar w:fldCharType="begin"/>
          </w:r>
          <w:r>
            <w:instrText xml:space="preserve"> PAGEREF _Toc29814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其他储备  人际关系储备</w:t>
          </w:r>
          <w:r>
            <w:tab/>
          </w:r>
          <w:r>
            <w:fldChar w:fldCharType="begin"/>
          </w:r>
          <w:r>
            <w:instrText xml:space="preserve"> PAGEREF _Toc5900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同事圈 公司人脉</w:t>
          </w:r>
          <w:r>
            <w:tab/>
          </w:r>
          <w:r>
            <w:fldChar w:fldCharType="begin"/>
          </w:r>
          <w:r>
            <w:instrText xml:space="preserve"> PAGEREF _Toc24731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普通朋友 邻居 </w:t>
          </w:r>
          <w:r>
            <w:rPr>
              <w:rFonts w:hint="default"/>
              <w:lang w:val="en-US" w:eastAsia="zh-CN"/>
            </w:rPr>
            <w:t>女朋友</w:t>
          </w:r>
          <w:r>
            <w:rPr>
              <w:rFonts w:hint="eastAsia"/>
              <w:lang w:val="en-US" w:eastAsia="zh-CN"/>
            </w:rPr>
            <w:t>等朋友圈</w:t>
          </w:r>
          <w:r>
            <w:tab/>
          </w:r>
          <w:r>
            <w:fldChar w:fldCharType="begin"/>
          </w:r>
          <w:r>
            <w:instrText xml:space="preserve"> PAGEREF _Toc18986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家庭圈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多地储备</w:t>
          </w:r>
          <w:r>
            <w:tab/>
          </w:r>
          <w:r>
            <w:fldChar w:fldCharType="begin"/>
          </w:r>
          <w:r>
            <w:instrText xml:space="preserve"> PAGEREF _Toc5530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Arial" w:hAnsi="Arial" w:eastAsia="Arial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海外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Dark Money</w:t>
          </w:r>
          <w:r>
            <w:tab/>
          </w:r>
          <w:r>
            <w:fldChar w:fldCharType="begin"/>
          </w:r>
          <w:r>
            <w:instrText xml:space="preserve"> PAGEREF _Toc10176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>支付系统</w:t>
          </w:r>
          <w:r>
            <w:tab/>
          </w:r>
          <w:r>
            <w:fldChar w:fldCharType="begin"/>
          </w:r>
          <w:r>
            <w:instrText xml:space="preserve"> PAGEREF _Toc20364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建立自给自足 内循环的工业体系</w:t>
          </w:r>
          <w:r>
            <w:tab/>
          </w:r>
          <w:r>
            <w:fldChar w:fldCharType="begin"/>
          </w:r>
          <w:r>
            <w:instrText xml:space="preserve"> PAGEREF _Toc25055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3274"/>
      <w:r>
        <w:rPr>
          <w:rFonts w:hint="eastAsia"/>
          <w:lang w:val="en-US" w:eastAsia="zh-CN"/>
        </w:rPr>
        <w:t>建立</w:t>
      </w:r>
      <w:r>
        <w:t>外汇</w:t>
      </w:r>
      <w:r>
        <w:rPr>
          <w:rFonts w:hint="eastAsia"/>
          <w:lang w:val="en-US" w:eastAsia="zh-CN"/>
        </w:rPr>
        <w:t>储备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家庭经济金融安全之外汇储备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外汇储备是家庭经济体的持有并可随时兑换外部货币的资产，通常以美元计算。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狭义而言，外汇储备指一个经济体的外汇累积；广义而言，指以外汇计价的总资产，包括现钞、黄金、国外政府公债、国债券等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合适的外汇储备 数字货币，美元欧元 比索现金 高价值小体积可交换物资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外汇储备余额（外汇储备）是经济实力的重要指标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外汇储备通常依靠贸易顺差出口资源技术等来储备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3844"/>
      <w:r>
        <w:rPr>
          <w:rFonts w:hint="eastAsia"/>
          <w:lang w:val="en-US" w:eastAsia="zh-CN"/>
        </w:rPr>
        <w:t>外汇储备规模 3w rmb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如何持有国际储备的问题。中国目前有高达5万亿美元的业务量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每人50000%%13=4k usd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外汇规模储备 200k piso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三万rmb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989"/>
      <w:r>
        <w:rPr>
          <w:rFonts w:hint="eastAsia"/>
          <w:lang w:val="en-US" w:eastAsia="zh-CN"/>
        </w:rPr>
        <w:t>多货币组合（美元比索rmb usdt  欧元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大量持有单一品种的货币有着巨大的风险，所以以，就采取了多货币与资产组合来规避风险，同时采购高价值可交换实物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截至2020年第二季度，美元占全球外汇储备比重为61.99%，欧元是20.05%，日元5.70%，英镑4.43%，人民币2.02%，加拿大元1.78%，澳元1.55%，瑞士法郎0.15%，其他货币2.33%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一般情况下，外汇储备是按美元、日元等不同货币存放在外国的央银里。但这就可能会被冻结。。现炒储备也是一种方法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储存货币也能赚钱靠汇率，低收高卖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3299"/>
      <w:r>
        <w:rPr>
          <w:rFonts w:hint="default"/>
          <w:lang w:val="en-US" w:eastAsia="zh-CN"/>
        </w:rPr>
        <w:t>储备物资 交易物资 金融安全外汇储备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香烟是战俘营里的硬通货，手机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bank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实物货币 小体积礼物。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咖啡砂糖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珠子 手串 人际关系 牛羊。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583"/>
      <w:r>
        <w:rPr>
          <w:rFonts w:hint="eastAsia"/>
          <w:lang w:val="en-US" w:eastAsia="zh-CN"/>
        </w:rPr>
        <w:t>黄金等贵金属储备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35"/>
      <w:r>
        <w:rPr>
          <w:rFonts w:hint="default"/>
          <w:lang w:val="en-US" w:eastAsia="zh-CN"/>
        </w:rPr>
        <w:t>储备</w:t>
      </w:r>
      <w:r>
        <w:rPr>
          <w:rFonts w:hint="eastAsia"/>
          <w:lang w:val="en-US" w:eastAsia="zh-CN"/>
        </w:rPr>
        <w:t>金融</w:t>
      </w:r>
      <w:r>
        <w:rPr>
          <w:rFonts w:hint="default"/>
          <w:lang w:val="en-US" w:eastAsia="zh-CN"/>
        </w:rPr>
        <w:t>物资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814"/>
      <w:r>
        <w:rPr>
          <w:rFonts w:hint="eastAsia"/>
          <w:lang w:val="en-US" w:eastAsia="zh-CN"/>
        </w:rPr>
        <w:t>手机 充电宝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5900"/>
      <w:r>
        <w:rPr>
          <w:rFonts w:hint="eastAsia"/>
          <w:lang w:val="en-US" w:eastAsia="zh-CN"/>
        </w:rPr>
        <w:t>其他储备  人际关系储备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731"/>
      <w:r>
        <w:rPr>
          <w:rFonts w:hint="eastAsia"/>
          <w:lang w:val="en-US" w:eastAsia="zh-CN"/>
        </w:rPr>
        <w:t>同事圈 公司人脉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986"/>
      <w:r>
        <w:rPr>
          <w:rFonts w:hint="eastAsia"/>
          <w:lang w:val="en-US" w:eastAsia="zh-CN"/>
        </w:rPr>
        <w:t xml:space="preserve">普通朋友 邻居 </w:t>
      </w:r>
      <w:r>
        <w:rPr>
          <w:rFonts w:hint="default"/>
          <w:lang w:val="en-US" w:eastAsia="zh-CN"/>
        </w:rPr>
        <w:t>女朋友</w:t>
      </w:r>
      <w:r>
        <w:rPr>
          <w:rFonts w:hint="eastAsia"/>
          <w:lang w:val="en-US" w:eastAsia="zh-CN"/>
        </w:rPr>
        <w:t>等朋友圈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7703"/>
      <w:r>
        <w:rPr>
          <w:rFonts w:hint="eastAsia"/>
          <w:lang w:val="en-US" w:eastAsia="zh-CN"/>
        </w:rPr>
        <w:t>家庭圈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社交信用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5530"/>
      <w:r>
        <w:rPr>
          <w:rFonts w:hint="eastAsia"/>
          <w:lang w:val="en-US" w:eastAsia="zh-CN"/>
        </w:rPr>
        <w:t>多地储备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176"/>
      <w:r>
        <w:rPr>
          <w:rStyle w:val="1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海外</w:t>
      </w:r>
      <w:r>
        <w:rPr>
          <w:rStyle w:val="1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Dark Money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0364"/>
      <w:r>
        <w:t>支付系统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5055"/>
      <w:r>
        <w:rPr>
          <w:rFonts w:hint="eastAsia"/>
          <w:lang w:val="en-US" w:eastAsia="zh-CN"/>
        </w:rPr>
        <w:t>建立自给自足 内循环的工业体系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5F6EA"/>
    <w:multiLevelType w:val="multilevel"/>
    <w:tmpl w:val="21D5F6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E2AD9"/>
    <w:rsid w:val="01EF3AB1"/>
    <w:rsid w:val="04F3135D"/>
    <w:rsid w:val="096719E1"/>
    <w:rsid w:val="0AA56D97"/>
    <w:rsid w:val="0B490A9F"/>
    <w:rsid w:val="0DDA7B3F"/>
    <w:rsid w:val="11776A7F"/>
    <w:rsid w:val="13392129"/>
    <w:rsid w:val="137918A1"/>
    <w:rsid w:val="13B125F5"/>
    <w:rsid w:val="177F58D7"/>
    <w:rsid w:val="1AEE79E0"/>
    <w:rsid w:val="1BFB03E6"/>
    <w:rsid w:val="1C605BA0"/>
    <w:rsid w:val="260A7B9C"/>
    <w:rsid w:val="27C94223"/>
    <w:rsid w:val="2C376735"/>
    <w:rsid w:val="2D7B23E8"/>
    <w:rsid w:val="338942C5"/>
    <w:rsid w:val="36935DFC"/>
    <w:rsid w:val="3BD35703"/>
    <w:rsid w:val="413A7ACB"/>
    <w:rsid w:val="44AC2D8E"/>
    <w:rsid w:val="4C3E61F3"/>
    <w:rsid w:val="4DBA1941"/>
    <w:rsid w:val="526A79AA"/>
    <w:rsid w:val="5BEB0156"/>
    <w:rsid w:val="5E5113AD"/>
    <w:rsid w:val="625369E0"/>
    <w:rsid w:val="671056B5"/>
    <w:rsid w:val="681B1B25"/>
    <w:rsid w:val="695E0233"/>
    <w:rsid w:val="6A9D55B2"/>
    <w:rsid w:val="6B3E6C9A"/>
    <w:rsid w:val="6DA76471"/>
    <w:rsid w:val="6EB745D0"/>
    <w:rsid w:val="6EE80D54"/>
    <w:rsid w:val="726056E6"/>
    <w:rsid w:val="730F3800"/>
    <w:rsid w:val="73FC38F7"/>
    <w:rsid w:val="776C177B"/>
    <w:rsid w:val="7A6A4E0E"/>
    <w:rsid w:val="7AC35E63"/>
    <w:rsid w:val="7C095548"/>
    <w:rsid w:val="7CDC29D3"/>
    <w:rsid w:val="7E2E2AD9"/>
    <w:rsid w:val="7EB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2022-03-09T02:17:00Z</dcterms:created>
  <dc:creator>ati</dc:creator>
  <cp:lastModifiedBy>ati</cp:lastModifiedBy>
  <dcterms:modified xsi:type="dcterms:W3CDTF">2022-03-09T03:03:07Z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056058A1E56748B89449985BFB5FDDC6</vt:lpwstr>
  </property>
</Properties>
</file>