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对外借钱风控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4"/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  <w:t>2、不满足客户身份识别要求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  <w:t>央行对信用卡客户身份识别的要求主要规定在《金融机构客户身份识别和客户身份资料及交易记录保存管理办法》（中国人民银行、中国银行业监督管理委员会、中国证券监督管理委员会、中国保险监督管理委员会令〔2007〕第2号，以下简称“2号文”）中。根据2号文第33条的相关规定，信用卡的发放需要征集客户的9个要素，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  <w:t>客户的姓名、性别、国籍、职业、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  <w:t>住所地或者工作单位地址、联系方式，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  <w:t>身份证件或者身份证明文件的种类、号码和有效期限。而在虚拟信用卡的发放环节中，明显缺少对客户住所地、经常居住地的征集与核查，不满足现下的要求。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31006"/>
    <w:rsid w:val="2EF31006"/>
    <w:rsid w:val="5A75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2022-05-25T10:04:00Z</dcterms:created>
  <dc:creator>ati</dc:creator>
  <cp:lastModifiedBy>ati</cp:lastModifiedBy>
  <dcterms:modified xsi:type="dcterms:W3CDTF">2022-05-25T10:10:27Z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15D101A1E50A46C39B1479090D38A014</vt:lpwstr>
  </property>
</Properties>
</file>