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xxx集团个人信息保护法</w:t>
      </w:r>
    </w:p>
    <w:p>
      <w:pPr>
        <w:rPr>
          <w:rFonts w:hint="eastAsia"/>
          <w:lang w:val="en-US" w:eastAsia="zh-CN"/>
        </w:rPr>
      </w:pPr>
    </w:p>
    <w:sdt>
      <w:sdtPr>
        <w:rPr>
          <w:rFonts w:ascii="宋体" w:hAnsi="宋体" w:eastAsia="宋体" w:cstheme="minorBidi"/>
          <w:kern w:val="2"/>
          <w:sz w:val="21"/>
          <w:szCs w:val="24"/>
          <w:lang w:val="en-US" w:eastAsia="zh-CN" w:bidi="ar-SA"/>
        </w:rPr>
        <w:id w:val="14745292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4" w:name="_GoBack"/>
          <w:bookmarkEnd w:id="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_Toc16698 </w:instrText>
          </w:r>
          <w:r>
            <w:rPr>
              <w:rFonts w:hint="eastAsia"/>
              <w:lang w:val="en-US" w:eastAsia="zh-CN"/>
            </w:rPr>
            <w:fldChar w:fldCharType="separate"/>
          </w:r>
          <w:r>
            <w:rPr>
              <w:rFonts w:hint="default"/>
              <w:lang w:val="en-US" w:eastAsia="zh-CN"/>
            </w:rPr>
            <w:t xml:space="preserve">1. </w:t>
          </w:r>
          <w:r>
            <w:rPr>
              <w:rFonts w:hint="eastAsia"/>
            </w:rPr>
            <w:t>确立个人信息保护原则</w:t>
          </w:r>
          <w:r>
            <w:tab/>
          </w:r>
          <w:r>
            <w:fldChar w:fldCharType="begin"/>
          </w:r>
          <w:r>
            <w:instrText xml:space="preserve"> PAGEREF _Toc16698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_Toc3508 </w:instrText>
          </w:r>
          <w:r>
            <w:rPr>
              <w:rFonts w:hint="eastAsia"/>
              <w:lang w:val="en-US" w:eastAsia="zh-CN"/>
            </w:rPr>
            <w:fldChar w:fldCharType="separate"/>
          </w:r>
          <w:r>
            <w:rPr>
              <w:rFonts w:hint="default"/>
              <w:lang w:val="en-US" w:eastAsia="zh-CN"/>
            </w:rPr>
            <w:t xml:space="preserve">1.1. </w:t>
          </w:r>
          <w:r>
            <w:rPr>
              <w:rFonts w:hint="eastAsia"/>
              <w:lang w:val="en-US" w:eastAsia="zh-CN"/>
            </w:rPr>
            <w:t>加密   mask脱敏</w:t>
          </w:r>
          <w:r>
            <w:tab/>
          </w:r>
          <w:r>
            <w:fldChar w:fldCharType="begin"/>
          </w:r>
          <w:r>
            <w:instrText xml:space="preserve"> PAGEREF _Toc3508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_Toc20469 </w:instrText>
          </w:r>
          <w:r>
            <w:rPr>
              <w:rFonts w:hint="eastAsia"/>
              <w:lang w:val="en-US" w:eastAsia="zh-CN"/>
            </w:rPr>
            <w:fldChar w:fldCharType="separate"/>
          </w:r>
          <w:r>
            <w:rPr>
              <w:rFonts w:hint="default"/>
              <w:lang w:val="en-US" w:eastAsia="zh-CN"/>
            </w:rPr>
            <w:t xml:space="preserve">1.2. </w:t>
          </w:r>
          <w:r>
            <w:rPr>
              <w:rFonts w:hint="eastAsia"/>
              <w:lang w:val="en-US" w:eastAsia="zh-CN"/>
            </w:rPr>
            <w:t>安全存储区域 严禁大陆区域存储</w:t>
          </w:r>
          <w:r>
            <w:tab/>
          </w:r>
          <w:r>
            <w:fldChar w:fldCharType="begin"/>
          </w:r>
          <w:r>
            <w:instrText xml:space="preserve"> PAGEREF _Toc20469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_Toc920 </w:instrText>
          </w:r>
          <w:r>
            <w:rPr>
              <w:rFonts w:hint="eastAsia"/>
              <w:lang w:val="en-US" w:eastAsia="zh-CN"/>
            </w:rPr>
            <w:fldChar w:fldCharType="separate"/>
          </w:r>
          <w:r>
            <w:rPr>
              <w:rFonts w:hint="default"/>
              <w:lang w:val="en-US" w:eastAsia="zh-CN"/>
            </w:rPr>
            <w:t xml:space="preserve">1.3. </w:t>
          </w:r>
          <w:r>
            <w:rPr>
              <w:rFonts w:hint="eastAsia"/>
              <w:lang w:val="en-US" w:eastAsia="zh-CN"/>
            </w:rPr>
            <w:t>定期更新标识</w:t>
          </w:r>
          <w:r>
            <w:tab/>
          </w:r>
          <w:r>
            <w:fldChar w:fldCharType="begin"/>
          </w:r>
          <w:r>
            <w:instrText xml:space="preserve"> PAGEREF _Toc920 \h </w:instrText>
          </w:r>
          <w:r>
            <w:fldChar w:fldCharType="separate"/>
          </w:r>
          <w:r>
            <w:t>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ind w:left="432" w:leftChars="0" w:hanging="432" w:firstLineChars="0"/>
        <w:rPr>
          <w:rFonts w:hint="eastAsia"/>
          <w:lang w:val="en-US" w:eastAsia="zh-CN"/>
        </w:rPr>
      </w:pPr>
      <w:bookmarkStart w:id="0" w:name="_Toc16698"/>
      <w:r>
        <w:rPr>
          <w:rFonts w:hint="eastAsia"/>
        </w:rPr>
        <w:t>确立个人信息保护原则</w:t>
      </w:r>
      <w:bookmarkEnd w:id="0"/>
    </w:p>
    <w:p>
      <w:pPr>
        <w:pStyle w:val="3"/>
        <w:bidi w:val="0"/>
        <w:rPr>
          <w:rFonts w:hint="eastAsia"/>
          <w:lang w:val="en-US" w:eastAsia="zh-CN"/>
        </w:rPr>
      </w:pPr>
      <w:bookmarkStart w:id="1" w:name="_Toc3508"/>
      <w:r>
        <w:rPr>
          <w:rFonts w:hint="eastAsia"/>
          <w:lang w:val="en-US" w:eastAsia="zh-CN"/>
        </w:rPr>
        <w:t>加密   mask脱敏</w:t>
      </w:r>
      <w:bookmarkEnd w:id="1"/>
      <w:r>
        <w:rPr>
          <w:rFonts w:hint="eastAsia"/>
          <w:lang w:val="en-US" w:eastAsia="zh-CN"/>
        </w:rPr>
        <w:t xml:space="preserve"> </w:t>
      </w:r>
    </w:p>
    <w:p>
      <w:pPr>
        <w:pStyle w:val="3"/>
        <w:bidi w:val="0"/>
        <w:rPr>
          <w:rFonts w:hint="eastAsia"/>
          <w:lang w:val="en-US" w:eastAsia="zh-CN"/>
        </w:rPr>
      </w:pPr>
      <w:bookmarkStart w:id="2" w:name="_Toc20469"/>
      <w:r>
        <w:rPr>
          <w:rFonts w:hint="eastAsia"/>
          <w:lang w:val="en-US" w:eastAsia="zh-CN"/>
        </w:rPr>
        <w:t>安全存储区域 严禁大陆区域存储</w:t>
      </w:r>
      <w:bookmarkEnd w:id="2"/>
      <w:r>
        <w:rPr>
          <w:rFonts w:hint="eastAsia"/>
          <w:lang w:val="en-US" w:eastAsia="zh-CN"/>
        </w:rPr>
        <w:t xml:space="preserve">  </w:t>
      </w:r>
    </w:p>
    <w:p>
      <w:pPr>
        <w:pStyle w:val="3"/>
        <w:bidi w:val="0"/>
        <w:rPr>
          <w:rFonts w:hint="default"/>
          <w:lang w:val="en-US" w:eastAsia="zh-CN"/>
        </w:rPr>
      </w:pPr>
      <w:bookmarkStart w:id="3" w:name="_Toc920"/>
      <w:r>
        <w:rPr>
          <w:rFonts w:hint="eastAsia"/>
          <w:lang w:val="en-US" w:eastAsia="zh-CN"/>
        </w:rPr>
        <w:t>定期更新标识</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both"/>
        <w:rPr>
          <w:rFonts w:hint="eastAsia" w:ascii="宋体" w:hAnsi="宋体" w:eastAsia="宋体" w:cs="宋体"/>
          <w:i w:val="0"/>
          <w:iCs w:val="0"/>
          <w:caps w:val="0"/>
          <w:color w:val="333333"/>
          <w:spacing w:val="0"/>
          <w:sz w:val="16"/>
          <w:szCs w:val="16"/>
        </w:rPr>
      </w:pPr>
      <w:r>
        <w:rPr>
          <w:rStyle w:val="16"/>
          <w:rFonts w:hint="eastAsia" w:ascii="宋体" w:hAnsi="宋体" w:eastAsia="宋体" w:cs="宋体"/>
          <w:i w:val="0"/>
          <w:iCs w:val="0"/>
          <w:caps w:val="0"/>
          <w:color w:val="000080"/>
          <w:spacing w:val="0"/>
          <w:sz w:val="16"/>
          <w:szCs w:val="16"/>
          <w:shd w:val="clear" w:fill="FFFFFF"/>
        </w:rPr>
        <w:t>严格保护敏感个人信息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both"/>
        <w:rPr>
          <w:rFonts w:hint="eastAsia" w:ascii="宋体" w:hAnsi="宋体" w:eastAsia="宋体" w:cs="宋体"/>
          <w:i w:val="0"/>
          <w:iCs w:val="0"/>
          <w:caps w:val="0"/>
          <w:color w:val="333333"/>
          <w:spacing w:val="0"/>
          <w:sz w:val="16"/>
          <w:szCs w:val="16"/>
        </w:rPr>
      </w:pPr>
      <w:r>
        <w:rPr>
          <w:rFonts w:hint="eastAsia" w:ascii="宋体" w:hAnsi="宋体" w:eastAsia="宋体" w:cs="宋体"/>
          <w:i w:val="0"/>
          <w:iCs w:val="0"/>
          <w:caps w:val="0"/>
          <w:color w:val="333333"/>
          <w:spacing w:val="0"/>
          <w:sz w:val="16"/>
          <w:szCs w:val="16"/>
          <w:shd w:val="clear" w:fill="FFFFFF"/>
        </w:rPr>
        <w:t>值得关注的是，个人信息保护法将生物识别、宗教信仰、特定身份、医疗健康、金融账户、行踪轨迹等信息列为敏感个人信息。</w:t>
      </w:r>
    </w:p>
    <w:p>
      <w:pPr>
        <w:rPr>
          <w:rFonts w:hint="default"/>
          <w:lang w:val="en-US" w:eastAsia="zh-CN"/>
        </w:rPr>
      </w:pP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第一章　总　　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第一条</w:t>
      </w:r>
      <w:r>
        <w:rPr>
          <w:rFonts w:hint="eastAsia" w:ascii="宋体" w:hAnsi="宋体" w:eastAsia="宋体" w:cs="宋体"/>
          <w:i w:val="0"/>
          <w:iCs w:val="0"/>
          <w:caps w:val="0"/>
          <w:color w:val="000000"/>
          <w:spacing w:val="0"/>
          <w:sz w:val="19"/>
          <w:szCs w:val="19"/>
          <w:shd w:val="clear" w:fill="FFFFFF"/>
        </w:rPr>
        <w:t>　为了保护个人信息权益，规范个人信息处理活动，促进个人信息合理利用，根据宪法，制定本法。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第四条</w:t>
      </w:r>
      <w:r>
        <w:rPr>
          <w:rFonts w:hint="eastAsia" w:ascii="宋体" w:hAnsi="宋体" w:eastAsia="宋体" w:cs="宋体"/>
          <w:i w:val="0"/>
          <w:iCs w:val="0"/>
          <w:caps w:val="0"/>
          <w:color w:val="000000"/>
          <w:spacing w:val="0"/>
          <w:sz w:val="19"/>
          <w:szCs w:val="19"/>
          <w:shd w:val="clear" w:fill="FFFFFF"/>
        </w:rPr>
        <w:t>　个人信息是以电子或者其他方式记录的与已识别或者可识别的自然人有关的各种信息，不包括匿名化处理后的信息。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个人信息的处理包括个人信息的收集、存储、使用、加工、传输、提供、公开、删除等。</w:t>
      </w:r>
    </w:p>
    <w:p>
      <w:pPr>
        <w:numPr>
          <w:ilvl w:val="0"/>
          <w:numId w:val="2"/>
        </w:numPr>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任何组织、个人不得非法收集、使用、加工、传输他人个人信息，不得非法买卖、提供或者公开他人个人信息；不得从事危害国家安全、公共利益的个人信息处理活动。</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第二章　个人信息处理规则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楷体" w:hAnsi="楷体" w:eastAsia="楷体" w:cs="楷体"/>
          <w:i w:val="0"/>
          <w:iCs w:val="0"/>
          <w:caps w:val="0"/>
          <w:color w:val="000000"/>
          <w:spacing w:val="0"/>
          <w:sz w:val="19"/>
          <w:szCs w:val="19"/>
          <w:shd w:val="clear" w:fill="FFFFFF"/>
        </w:rPr>
        <w:t>第一节　一般规定</w:t>
      </w: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rPr>
      </w:pPr>
      <w:r>
        <w:rPr>
          <w:rFonts w:ascii="黑体" w:hAnsi="宋体" w:eastAsia="黑体" w:cs="黑体"/>
          <w:i w:val="0"/>
          <w:iCs w:val="0"/>
          <w:caps w:val="0"/>
          <w:color w:val="000000"/>
          <w:spacing w:val="0"/>
          <w:sz w:val="19"/>
          <w:szCs w:val="19"/>
          <w:shd w:val="clear" w:fill="FFFFFF"/>
        </w:rPr>
        <w:t>第二十六条</w:t>
      </w:r>
      <w:r>
        <w:rPr>
          <w:rFonts w:hint="eastAsia" w:ascii="宋体" w:hAnsi="宋体" w:eastAsia="宋体" w:cs="宋体"/>
          <w:i w:val="0"/>
          <w:iCs w:val="0"/>
          <w:caps w:val="0"/>
          <w:color w:val="000000"/>
          <w:spacing w:val="0"/>
          <w:sz w:val="19"/>
          <w:szCs w:val="19"/>
          <w:shd w:val="clear" w:fill="FFFFFF"/>
        </w:rPr>
        <w:t>　在公共场所安装图像采集、个人身份识别设备，应当为维护公共安全所必需，遵守国家有关规定，并设置显著的提示标识。所收集的个人图像、身份识别信息只能用于维护公共安全的目的，不得用于其他目的；取得个人单独同意的除外。</w:t>
      </w: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rPr>
      </w:pP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楷体" w:hAnsi="楷体" w:eastAsia="楷体" w:cs="楷体"/>
          <w:i w:val="0"/>
          <w:iCs w:val="0"/>
          <w:caps w:val="0"/>
          <w:color w:val="000000"/>
          <w:spacing w:val="0"/>
          <w:sz w:val="19"/>
          <w:szCs w:val="19"/>
          <w:shd w:val="clear" w:fill="FFFFFF"/>
        </w:rPr>
        <w:t>第二节  敏感个人信息的处理规则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第二十八条</w:t>
      </w:r>
      <w:r>
        <w:rPr>
          <w:rFonts w:hint="eastAsia" w:ascii="宋体" w:hAnsi="宋体" w:eastAsia="宋体" w:cs="宋体"/>
          <w:i w:val="0"/>
          <w:iCs w:val="0"/>
          <w:caps w:val="0"/>
          <w:color w:val="000000"/>
          <w:spacing w:val="0"/>
          <w:sz w:val="19"/>
          <w:szCs w:val="19"/>
          <w:shd w:val="clear" w:fill="FFFFFF"/>
        </w:rPr>
        <w:t>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第三章　个人信息跨境提供的规则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第三十八条</w:t>
      </w:r>
      <w:r>
        <w:rPr>
          <w:rFonts w:hint="eastAsia" w:ascii="宋体" w:hAnsi="宋体" w:eastAsia="宋体" w:cs="宋体"/>
          <w:i w:val="0"/>
          <w:iCs w:val="0"/>
          <w:caps w:val="0"/>
          <w:color w:val="000000"/>
          <w:spacing w:val="0"/>
          <w:sz w:val="19"/>
          <w:szCs w:val="19"/>
          <w:shd w:val="clear" w:fill="FFFFFF"/>
        </w:rPr>
        <w:t>　个人信息处理者因业务等需要，确需向中华人民共和国境外提供个人信息的，应当具备下列条件之</w:t>
      </w: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lang w:val="en-US" w:eastAsia="zh-CN"/>
        </w:rPr>
      </w:pPr>
      <w:r>
        <w:rPr>
          <w:rFonts w:hint="eastAsia" w:ascii="宋体" w:hAnsi="宋体" w:eastAsia="宋体" w:cs="宋体"/>
          <w:i w:val="0"/>
          <w:iCs w:val="0"/>
          <w:caps w:val="0"/>
          <w:color w:val="000000"/>
          <w:spacing w:val="0"/>
          <w:sz w:val="19"/>
          <w:szCs w:val="19"/>
          <w:shd w:val="clear" w:fill="FFFFFF"/>
          <w:lang w:val="en-US" w:eastAsia="zh-CN"/>
        </w:rPr>
        <w:t>跨境存储应该加强保护加密 匿名化等处理 脱敏</w:t>
      </w: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lang w:val="en-US" w:eastAsia="zh-CN"/>
        </w:rPr>
      </w:pPr>
    </w:p>
    <w:p>
      <w:pPr>
        <w:widowControl w:val="0"/>
        <w:numPr>
          <w:ilvl w:val="0"/>
          <w:numId w:val="0"/>
        </w:numPr>
        <w:jc w:val="both"/>
        <w:rPr>
          <w:rFonts w:hint="eastAsia" w:ascii="宋体" w:hAnsi="宋体" w:eastAsia="宋体" w:cs="宋体"/>
          <w:i w:val="0"/>
          <w:iCs w:val="0"/>
          <w:caps w:val="0"/>
          <w:color w:val="000000"/>
          <w:spacing w:val="0"/>
          <w:sz w:val="19"/>
          <w:szCs w:val="19"/>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shd w:val="clear" w:fill="FFFFFF"/>
        </w:rPr>
        <w:t>第八章　附　　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lang w:val="en-US" w:eastAsia="zh-CN"/>
        </w:rPr>
        <w:t xml:space="preserve"> </w:t>
      </w:r>
      <w:r>
        <w:rPr>
          <w:rFonts w:hint="eastAsia" w:ascii="宋体" w:hAnsi="宋体" w:eastAsia="宋体" w:cs="宋体"/>
          <w:i w:val="0"/>
          <w:iCs w:val="0"/>
          <w:caps w:val="0"/>
          <w:color w:val="000000"/>
          <w:spacing w:val="0"/>
          <w:sz w:val="19"/>
          <w:szCs w:val="19"/>
          <w:shd w:val="clear" w:fill="FFFFFF"/>
        </w:rPr>
        <w:t>（三）去标识化，是指个人信息经过处理，使其在不借助额外信息的情况下无法识别特定自然人的过程。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（四）匿名化，是指个人信息经过处理无法识别特定自然人且不能复原的过程。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第七十四条</w:t>
      </w:r>
      <w:r>
        <w:rPr>
          <w:rFonts w:hint="eastAsia" w:ascii="宋体" w:hAnsi="宋体" w:eastAsia="宋体" w:cs="宋体"/>
          <w:i w:val="0"/>
          <w:iCs w:val="0"/>
          <w:caps w:val="0"/>
          <w:color w:val="000000"/>
          <w:spacing w:val="0"/>
          <w:sz w:val="19"/>
          <w:szCs w:val="19"/>
          <w:shd w:val="clear" w:fill="FFFFFF"/>
        </w:rPr>
        <w:t>　本法自2021年11月1日起施行。</w:t>
      </w: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1D1D1D"/>
          <w:sz w:val="18"/>
          <w:szCs w:val="18"/>
        </w:rPr>
        <w:t>《个人信息保护法》规定的法定权利与GDPR以及《加利福尼亚州消费者隐私法》（</w:t>
      </w:r>
      <w:r>
        <w:rPr>
          <w:rStyle w:val="16"/>
          <w:color w:val="1D1D1D"/>
          <w:sz w:val="18"/>
          <w:szCs w:val="18"/>
        </w:rPr>
        <w:t>“CCPA”</w:t>
      </w:r>
      <w:r>
        <w:rPr>
          <w:color w:val="1D1D1D"/>
          <w:sz w:val="18"/>
          <w:szCs w:val="18"/>
        </w:rPr>
        <w:t>）的对比如下：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 </w:t>
      </w:r>
    </w:p>
    <w:tbl>
      <w:tblPr>
        <w:tblStyle w:val="1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707"/>
        <w:gridCol w:w="2359"/>
        <w:gridCol w:w="2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A5D6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6"/>
              </w:rPr>
              <w:t>《个人信息保护法》</w:t>
            </w:r>
          </w:p>
        </w:tc>
        <w:tc>
          <w:tcPr>
            <w:tcW w:w="1400" w:type="pct"/>
            <w:tcBorders>
              <w:top w:val="single" w:color="004497" w:sz="2" w:space="0"/>
              <w:left w:val="single" w:color="004497" w:sz="2" w:space="0"/>
              <w:bottom w:val="single" w:color="004497" w:sz="2" w:space="0"/>
              <w:right w:val="single" w:color="004497" w:sz="2" w:space="0"/>
            </w:tcBorders>
            <w:shd w:val="clear" w:color="auto" w:fill="A5D6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6"/>
              </w:rPr>
              <w:t>GDPR</w:t>
            </w:r>
          </w:p>
        </w:tc>
        <w:tc>
          <w:tcPr>
            <w:tcW w:w="1400" w:type="pct"/>
            <w:tcBorders>
              <w:top w:val="single" w:color="004497" w:sz="2" w:space="0"/>
              <w:left w:val="single" w:color="004497" w:sz="2" w:space="0"/>
              <w:bottom w:val="single" w:color="004497" w:sz="2" w:space="0"/>
              <w:right w:val="single" w:color="004497" w:sz="2" w:space="0"/>
            </w:tcBorders>
            <w:shd w:val="clear" w:color="auto" w:fill="A5D6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6"/>
              </w:rPr>
              <w:t>CCPA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知情权（第四十四条）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知情权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知情权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决定权（第四十四条）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限制权（第四十四条）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限制处理权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r>
              <w:rPr>
                <w:rStyle w:val="16"/>
                <w:color w:val="4BA2E8"/>
                <w:sz w:val="15"/>
                <w:szCs w:val="15"/>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拒绝权（第四十四条）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拒绝权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查阅权（第四十五条）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访问权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访问权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复制权（第四十五条）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访问权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访问权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可携带权（第四十五条）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可携带权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可携带权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更正权（第四十六条）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更正权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删除权（第四十七条）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被遗忘权</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删除权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自动化决策相关权利</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（第二十四条）</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自动化决策相关权利</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w:t>
            </w:r>
            <w:r>
              <w:rPr>
                <w:rStyle w:val="16"/>
                <w:color w:val="4BA2E8"/>
                <w:sz w:val="15"/>
                <w:szCs w:val="15"/>
              </w:rPr>
              <w:t>[14]</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w:t>
            </w:r>
          </w:p>
        </w:tc>
        <w:tc>
          <w:tcPr>
            <w:tcW w:w="1400" w:type="pct"/>
            <w:tcBorders>
              <w:top w:val="single" w:color="004497" w:sz="2" w:space="0"/>
              <w:left w:val="single" w:color="004497" w:sz="2" w:space="0"/>
              <w:bottom w:val="single" w:color="004497" w:sz="2" w:space="0"/>
              <w:right w:val="single" w:color="004497" w:sz="2" w:space="0"/>
            </w:tcBorders>
            <w:shd w:val="clear" w:color="auto" w:fill="FFFFFF"/>
            <w:tcMar>
              <w:top w:w="60" w:type="dxa"/>
              <w:left w:w="60" w:type="dxa"/>
              <w:bottom w:w="60" w:type="dxa"/>
              <w:right w:w="60" w:type="dxa"/>
            </w:tcMar>
            <w:vAlign w:val="center"/>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t>要求不得出售其个人信息（Not to sale）</w:t>
            </w:r>
          </w:p>
        </w:tc>
      </w:tr>
    </w:tbl>
    <w:p>
      <w:pPr>
        <w:widowControl w:val="0"/>
        <w:numPr>
          <w:ilvl w:val="0"/>
          <w:numId w:val="0"/>
        </w:numPr>
        <w:jc w:val="both"/>
        <w:rPr>
          <w:rFonts w:hint="default" w:ascii="宋体" w:hAnsi="宋体" w:eastAsia="宋体" w:cs="宋体"/>
          <w:i w:val="0"/>
          <w:iCs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8F698A"/>
    <w:multiLevelType w:val="multilevel"/>
    <w:tmpl w:val="BC8F698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1D7EDD4"/>
    <w:multiLevelType w:val="singleLevel"/>
    <w:tmpl w:val="51D7EDD4"/>
    <w:lvl w:ilvl="0" w:tentative="0">
      <w:start w:val="10"/>
      <w:numFmt w:val="chineseCounting"/>
      <w:suff w:val="nothing"/>
      <w:lvlText w:val="第%1条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D0E5F"/>
    <w:rsid w:val="00221FE2"/>
    <w:rsid w:val="09694F30"/>
    <w:rsid w:val="098D5ED7"/>
    <w:rsid w:val="0A9662B1"/>
    <w:rsid w:val="0ADA7F1E"/>
    <w:rsid w:val="0B4C70B9"/>
    <w:rsid w:val="0B894FFF"/>
    <w:rsid w:val="0DA95FC2"/>
    <w:rsid w:val="10134EB1"/>
    <w:rsid w:val="13BB3EF1"/>
    <w:rsid w:val="17A870A6"/>
    <w:rsid w:val="1A894ECE"/>
    <w:rsid w:val="1B422EF3"/>
    <w:rsid w:val="2B9F229C"/>
    <w:rsid w:val="345606C3"/>
    <w:rsid w:val="357D758F"/>
    <w:rsid w:val="359A1B19"/>
    <w:rsid w:val="36B158E7"/>
    <w:rsid w:val="36F55072"/>
    <w:rsid w:val="3A744A96"/>
    <w:rsid w:val="46EF4C9D"/>
    <w:rsid w:val="4CBD0E5F"/>
    <w:rsid w:val="4D825201"/>
    <w:rsid w:val="50B80DB6"/>
    <w:rsid w:val="518C3CD6"/>
    <w:rsid w:val="58B12DD6"/>
    <w:rsid w:val="60D411EC"/>
    <w:rsid w:val="60FA2D10"/>
    <w:rsid w:val="6B3671F7"/>
    <w:rsid w:val="75FC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2021-10-25T03:50:00Z</dcterms:created>
  <dc:creator>ati</dc:creator>
  <cp:lastModifiedBy>ati</cp:lastModifiedBy>
  <dcterms:modified xsi:type="dcterms:W3CDTF">2021-11-23T05:44:30Z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048F769574184D1480D55CB3041AF9DD</vt:lpwstr>
  </property>
</Properties>
</file>