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4" w:name="content"/>
    <w:bookmarkStart w:id="33" w:name="verificación-de-compatibilidades"/>
    <w:p>
      <w:pPr>
        <w:pStyle w:val="Heading1"/>
      </w:pPr>
      <w:r>
        <w:t xml:space="preserve">Verificación de compatibilidades</w:t>
      </w:r>
    </w:p>
    <w:p>
      <w:pPr>
        <w:pStyle w:val="FirstParagraph"/>
      </w:pPr>
      <w:r>
        <w:t xml:space="preserve">Tras revisar el archivo</w:t>
      </w:r>
      <w:r>
        <w:t xml:space="preserve"> </w:t>
      </w:r>
      <w:r>
        <w:rPr>
          <w:b/>
          <w:bCs/>
        </w:rPr>
        <w:t xml:space="preserve">vehicle_compatibility_merged.json</w:t>
      </w:r>
      <w:r>
        <w:t xml:space="preserve"> </w:t>
      </w:r>
      <w:r>
        <w:t xml:space="preserve">frente a las reglas de</w:t>
      </w:r>
      <w:r>
        <w:t xml:space="preserve"> </w:t>
      </w:r>
      <w:r>
        <w:rPr>
          <w:b/>
          <w:bCs/>
        </w:rPr>
        <w:t xml:space="preserve">COMPATIBILITY_RULES.md</w:t>
      </w:r>
      <w:r>
        <w:t xml:space="preserve">, encontramos que</w:t>
      </w:r>
      <w:r>
        <w:t xml:space="preserve"> </w:t>
      </w:r>
      <w:r>
        <w:rPr>
          <w:b/>
          <w:bCs/>
        </w:rPr>
        <w:t xml:space="preserve">todos los vehículos</w:t>
      </w:r>
      <w:r>
        <w:t xml:space="preserve"> </w:t>
      </w:r>
      <w:r>
        <w:t xml:space="preserve">listan un total de 274 piezas (suma de</w:t>
      </w:r>
      <w:r>
        <w:t xml:space="preserve"> </w:t>
      </w:r>
      <w:r>
        <w:rPr>
          <w:i/>
          <w:iCs/>
        </w:rPr>
        <w:t xml:space="preserve">compatiblePartsCount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incompatiblePartsCount</w:t>
      </w:r>
      <w:r>
        <w:t xml:space="preserve">), como exige la regla 1. También observamos que en general las incompatibilidades incluyen motivos (campo</w:t>
      </w:r>
      <w:r>
        <w:t xml:space="preserve"> </w:t>
      </w:r>
      <w:r>
        <w:rPr>
          <w:rStyle w:val="VerbatimChar"/>
        </w:rPr>
        <w:t xml:space="preserve">reasons</w:t>
      </w:r>
      <w:r>
        <w:t xml:space="preserve">) y las piezas compatibles no tienen ninguno, cumpliendo en lo esencial la regla 2.</w:t>
      </w:r>
    </w:p>
    <w:p>
      <w:pPr>
        <w:pStyle w:val="BodyText"/>
      </w:pPr>
      <w:r>
        <w:t xml:space="preserve">Sin embargo, hallamos</w:t>
      </w:r>
      <w:r>
        <w:t xml:space="preserve"> </w:t>
      </w:r>
      <w:r>
        <w:rPr>
          <w:b/>
          <w:bCs/>
        </w:rPr>
        <w:t xml:space="preserve">varias inconsistencias</w:t>
      </w:r>
      <w:r>
        <w:t xml:space="preserve"> </w:t>
      </w:r>
      <w:r>
        <w:t xml:space="preserve">en la aplicación de las reglas: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Advertencias Turbo vs. Supercargador:</w:t>
      </w:r>
      <w:r>
        <w:t xml:space="preserve"> </w:t>
      </w:r>
      <w:r>
        <w:t xml:space="preserve">Según las reglas, instalar un supercargador en un motor ya turboalimentado debe generar</w:t>
      </w:r>
      <w:r>
        <w:t xml:space="preserve"> </w:t>
      </w:r>
      <w:r>
        <w:rPr>
          <w:b/>
          <w:bCs/>
        </w:rPr>
        <w:t xml:space="preserve">solo una advertencia</w:t>
      </w:r>
      <w:r>
        <w:t xml:space="preserve">, no una incompatibilidad total</w:t>
      </w:r>
      <w:hyperlink r:id="rId21">
        <w:r>
          <w:rPr>
            <w:rStyle w:val="Hyperlink"/>
          </w:rPr>
          <w:t xml:space="preserve">[1]</w:t>
        </w:r>
      </w:hyperlink>
      <w:r>
        <w:t xml:space="preserve">. En cambio, en varios vehículos turbo (p.ej.</w:t>
      </w:r>
      <w:r>
        <w:t xml:space="preserve"> </w:t>
      </w:r>
      <w:r>
        <w:rPr>
          <w:i/>
          <w:iCs/>
        </w:rPr>
        <w:t xml:space="preserve">Toyota Supra A80</w:t>
      </w:r>
      <w:r>
        <w:t xml:space="preserve">,</w:t>
      </w:r>
      <w:r>
        <w:t xml:space="preserve"> </w:t>
      </w:r>
      <w:r>
        <w:rPr>
          <w:i/>
          <w:iCs/>
        </w:rPr>
        <w:t xml:space="preserve">Nissan R34 GT-R</w:t>
      </w:r>
      <w:r>
        <w:t xml:space="preserve">), las piezas de supercargador aparecen en</w:t>
      </w:r>
      <w:r>
        <w:t xml:space="preserve"> </w:t>
      </w:r>
      <w:r>
        <w:rPr>
          <w:i/>
          <w:iCs/>
        </w:rPr>
        <w:t xml:space="preserve">incompatibleParts</w:t>
      </w:r>
      <w:r>
        <w:t xml:space="preserve"> </w:t>
      </w:r>
      <w:r>
        <w:t xml:space="preserve">con razones de “motor incompatible” (por ejemplo, el</w:t>
      </w:r>
      <w:r>
        <w:t xml:space="preserve"> </w:t>
      </w:r>
      <w:r>
        <w:rPr>
          <w:b/>
          <w:bCs/>
        </w:rPr>
        <w:t xml:space="preserve">Whipple 2.3L Twin-Screw</w:t>
      </w:r>
      <w:r>
        <w:t xml:space="preserve"> </w:t>
      </w:r>
      <w:r>
        <w:t xml:space="preserve">en la Supra se marca incompatible por “necesita v8”</w:t>
      </w:r>
      <w:hyperlink r:id="rId22">
        <w:r>
          <w:rPr>
            <w:rStyle w:val="Hyperlink"/>
          </w:rPr>
          <w:t xml:space="preserve">[2]</w:t>
        </w:r>
      </w:hyperlink>
      <w:r>
        <w:t xml:space="preserve">). Esto contradice la regla de</w:t>
      </w:r>
      <w:r>
        <w:t xml:space="preserve"> </w:t>
      </w:r>
      <w:r>
        <w:rPr>
          <w:i/>
          <w:iCs/>
        </w:rPr>
        <w:t xml:space="preserve">advertencia</w:t>
      </w:r>
      <w:r>
        <w:t xml:space="preserve"> </w:t>
      </w:r>
      <w:r>
        <w:t xml:space="preserve">de twin-charging. (Por el contrario, en vehículos</w:t>
      </w:r>
      <w:r>
        <w:t xml:space="preserve"> </w:t>
      </w:r>
      <w:r>
        <w:rPr>
          <w:b/>
          <w:bCs/>
        </w:rPr>
        <w:t xml:space="preserve">NA</w:t>
      </w:r>
      <w:r>
        <w:t xml:space="preserve">, los turbos sí llevan la advertencia correspondiente, p.ej.</w:t>
      </w:r>
      <w:r>
        <w:t xml:space="preserve"> </w:t>
      </w:r>
      <w:r>
        <w:rPr>
          <w:i/>
          <w:iCs/>
        </w:rPr>
        <w:t xml:space="preserve">NSX NA1</w:t>
      </w:r>
      <w:r>
        <w:t xml:space="preserve"> </w:t>
      </w:r>
      <w:r>
        <w:t xml:space="preserve">muestra advertencias de “motor atmosférico de fábrica” en sus turbos</w:t>
      </w:r>
      <w:hyperlink r:id="rId21">
        <w:r>
          <w:rPr>
            <w:rStyle w:val="Hyperlink"/>
          </w:rPr>
          <w:t xml:space="preserve">[1]</w:t>
        </w:r>
      </w:hyperlink>
      <w:r>
        <w:t xml:space="preserve">, lo cual es correcto.)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Razones de incompatibilidad incorrectas:</w:t>
      </w:r>
      <w:r>
        <w:t xml:space="preserve"> </w:t>
      </w:r>
      <w:r>
        <w:t xml:space="preserve">Encontramos partes listadas como incompatibles por motivos que en realidad sí se cumplen. Un caso claro es el</w:t>
      </w:r>
      <w:r>
        <w:t xml:space="preserve"> </w:t>
      </w:r>
      <w:r>
        <w:rPr>
          <w:i/>
          <w:iCs/>
        </w:rPr>
        <w:t xml:space="preserve">Mazda RX-7 Spirit R (FD)</w:t>
      </w:r>
      <w:r>
        <w:t xml:space="preserve">, que es un coupé con motor rotativo delantero. En su sección de incompatibilidades aparecen varias piezas con la razón</w:t>
      </w:r>
      <w:r>
        <w:t xml:space="preserve"> </w:t>
      </w:r>
      <w:r>
        <w:rPr>
          <w:rStyle w:val="VerbatimChar"/>
        </w:rPr>
        <w:t xml:space="preserve">"Requiere disposición de motor: front"</w:t>
      </w:r>
      <w:r>
        <w:t xml:space="preserve"> </w:t>
      </w:r>
      <w:r>
        <w:t xml:space="preserve">(p.ej.</w:t>
      </w:r>
      <w:r>
        <w:t xml:space="preserve"> </w:t>
      </w:r>
      <w:r>
        <w:rPr>
          <w:b/>
          <w:bCs/>
        </w:rPr>
        <w:t xml:space="preserve">JB4 Tuning Module</w:t>
      </w:r>
      <w:r>
        <w:t xml:space="preserve"> </w:t>
      </w:r>
      <w:r>
        <w:rPr>
          <w:i/>
          <w:iCs/>
        </w:rPr>
        <w:t xml:space="preserve">ecu-jb4-piggyback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DCL600 Dual Clutch</w:t>
      </w:r>
      <w:r>
        <w:t xml:space="preserve"> </w:t>
      </w:r>
      <w:r>
        <w:rPr>
          <w:i/>
          <w:iCs/>
        </w:rPr>
        <w:t xml:space="preserve">trans-getrag-dcl600</w:t>
      </w:r>
      <w:r>
        <w:t xml:space="preserve">)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Sin embargo, el RX-7</w:t>
      </w:r>
      <w:r>
        <w:t xml:space="preserve"> </w:t>
      </w:r>
      <w:r>
        <w:rPr>
          <w:b/>
          <w:bCs/>
        </w:rPr>
        <w:t xml:space="preserve">sí es de motor delantero</w:t>
      </w:r>
      <w:r>
        <w:t xml:space="preserve">, por lo que ese motivo no debería impedir la instalación. De hecho, estas piezas deberían listarse como</w:t>
      </w:r>
      <w:r>
        <w:t xml:space="preserve"> </w:t>
      </w:r>
      <w:r>
        <w:rPr>
          <w:i/>
          <w:iCs/>
        </w:rPr>
        <w:t xml:space="preserve">compatibles</w:t>
      </w:r>
      <w:r>
        <w:t xml:space="preserve"> </w:t>
      </w:r>
      <w:r>
        <w:t xml:space="preserve">(o al menos no marcar esa razón). De modo similar, la</w:t>
      </w:r>
      <w:r>
        <w:t xml:space="preserve"> </w:t>
      </w:r>
      <w:r>
        <w:rPr>
          <w:b/>
          <w:bCs/>
        </w:rPr>
        <w:t xml:space="preserve">RE Amemiya RX-7 Wide Kit</w:t>
      </w:r>
      <w:r>
        <w:t xml:space="preserve"> </w:t>
      </w:r>
      <w:r>
        <w:t xml:space="preserve">(</w:t>
      </w:r>
      <w:r>
        <w:rPr>
          <w:i/>
          <w:iCs/>
        </w:rPr>
        <w:t xml:space="preserve">bodykit-reamemiya-rx7</w:t>
      </w:r>
      <w:r>
        <w:t xml:space="preserve">) y el</w:t>
      </w:r>
      <w:r>
        <w:t xml:space="preserve"> </w:t>
      </w:r>
      <w:r>
        <w:rPr>
          <w:b/>
          <w:bCs/>
        </w:rPr>
        <w:t xml:space="preserve">PWR Front Mount Intercooler</w:t>
      </w:r>
      <w:r>
        <w:t xml:space="preserve"> </w:t>
      </w:r>
      <w:r>
        <w:t xml:space="preserve">(</w:t>
      </w:r>
      <w:r>
        <w:rPr>
          <w:i/>
          <w:iCs/>
        </w:rPr>
        <w:t xml:space="preserve">cooling-pwr-intercooler-fmic</w:t>
      </w:r>
      <w:r>
        <w:t xml:space="preserve">) aparecen incompatibles por “motor incompatible: necesita rotary” y “requiere front”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, pero el RX-7</w:t>
      </w:r>
      <w:r>
        <w:t xml:space="preserve"> </w:t>
      </w:r>
      <w:r>
        <w:rPr>
          <w:b/>
          <w:bCs/>
        </w:rPr>
        <w:t xml:space="preserve">es rotativo delantero</w:t>
      </w:r>
      <w:r>
        <w:t xml:space="preserve">, por lo que ambas condiciones son válidas y la pieza debería ser compatible. Estas discrepancias indican que las razones de incompatibilidad fueron mal aplicadas en estos casos.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Compatibilidad de ruedas (patrón de pernos):</w:t>
      </w:r>
      <w:r>
        <w:t xml:space="preserve"> </w:t>
      </w:r>
      <w:r>
        <w:t xml:space="preserve">La compatibilidad de llantas se basa exclusivamente en el patrón de pernos. Debe ocurrir que si el patrón coincide, la pieza esté en</w:t>
      </w:r>
      <w:r>
        <w:t xml:space="preserve"> </w:t>
      </w:r>
      <w:r>
        <w:rPr>
          <w:i/>
          <w:iCs/>
        </w:rPr>
        <w:t xml:space="preserve">compatibleParts</w:t>
      </w:r>
      <w:r>
        <w:t xml:space="preserve">, y si no, en</w:t>
      </w:r>
      <w:r>
        <w:t xml:space="preserve"> </w:t>
      </w:r>
      <w:r>
        <w:rPr>
          <w:i/>
          <w:iCs/>
        </w:rPr>
        <w:t xml:space="preserve">incompatibleParts</w:t>
      </w:r>
      <w:r>
        <w:t xml:space="preserve"> </w:t>
      </w:r>
      <w:r>
        <w:t xml:space="preserve">con el motivo adecuado. Por ejemplo, el</w:t>
      </w:r>
      <w:r>
        <w:t xml:space="preserve"> </w:t>
      </w:r>
      <w:r>
        <w:rPr>
          <w:i/>
          <w:iCs/>
        </w:rPr>
        <w:t xml:space="preserve">Dodge Challenger SRT Hellcat</w:t>
      </w:r>
      <w:r>
        <w:t xml:space="preserve"> </w:t>
      </w:r>
      <w:r>
        <w:t xml:space="preserve">tiene patrón</w:t>
      </w:r>
      <w:r>
        <w:t xml:space="preserve"> </w:t>
      </w:r>
      <w:r>
        <w:rPr>
          <w:b/>
          <w:bCs/>
        </w:rPr>
        <w:t xml:space="preserve">5x114.3</w:t>
      </w:r>
      <w:r>
        <w:t xml:space="preserve">, pero en sus incompatibilidades figura la rueda</w:t>
      </w:r>
      <w:r>
        <w:t xml:space="preserve"> </w:t>
      </w:r>
      <w:r>
        <w:rPr>
          <w:b/>
          <w:bCs/>
        </w:rPr>
        <w:t xml:space="preserve">XXR Budget 18x8.5</w:t>
      </w:r>
      <w:r>
        <w:t xml:space="preserve"> </w:t>
      </w:r>
      <w:r>
        <w:t xml:space="preserve">(</w:t>
      </w:r>
      <w:r>
        <w:rPr>
          <w:i/>
          <w:iCs/>
        </w:rPr>
        <w:t xml:space="preserve">wheels-xxr-budget-18x8-5</w:t>
      </w:r>
      <w:r>
        <w:t xml:space="preserve">) con razón</w:t>
      </w:r>
      <w:r>
        <w:t xml:space="preserve"> </w:t>
      </w:r>
      <w:r>
        <w:rPr>
          <w:rStyle w:val="VerbatimChar"/>
        </w:rPr>
        <w:t xml:space="preserve">"requiere 4x100 o 5x100 o 5x114.3"</w:t>
      </w:r>
      <w:hyperlink r:id="rId27">
        <w:r>
          <w:rPr>
            <w:rStyle w:val="Hyperlink"/>
          </w:rPr>
          <w:t xml:space="preserve">[7]</w:t>
        </w:r>
      </w:hyperlink>
      <w:r>
        <w:t xml:space="preserve">. Sin embargo,</w:t>
      </w:r>
      <w:r>
        <w:t xml:space="preserve"> </w:t>
      </w:r>
      <w:r>
        <w:rPr>
          <w:i/>
          <w:iCs/>
        </w:rPr>
        <w:t xml:space="preserve">5x114.3</w:t>
      </w:r>
      <w:r>
        <w:t xml:space="preserve"> </w:t>
      </w:r>
      <w:r>
        <w:t xml:space="preserve">es precisamente el patrón del Challenger, por lo que la rueda es compatible y no debería estar listada como incompatible (o al menos no con ese motivo, que de hecho incluye su propio patrón). Esto es un error: la rueda debería estar en</w:t>
      </w:r>
      <w:r>
        <w:t xml:space="preserve"> </w:t>
      </w:r>
      <w:r>
        <w:rPr>
          <w:i/>
          <w:iCs/>
        </w:rPr>
        <w:t xml:space="preserve">compatibleParts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Otros chequeos específicos:</w:t>
      </w:r>
    </w:p>
    <w:p>
      <w:pPr>
        <w:pStyle w:val="Compact"/>
        <w:numPr>
          <w:ilvl w:val="0"/>
          <w:numId w:val="1001"/>
        </w:numPr>
      </w:pPr>
      <w:r>
        <w:t xml:space="preserve">Los swaps de motores están marcados correctamente en general: se prohíben mezclas de configuraciones, salvo advertencias adecuadas. Por ejemplo, el R34 no permite motores V8 por “requiere v8” y “requiere 50L”</w:t>
      </w:r>
      <w:hyperlink r:id="rId28">
        <w:r>
          <w:rPr>
            <w:rStyle w:val="Hyperlink"/>
          </w:rPr>
          <w:t xml:space="preserve">[8]</w:t>
        </w:r>
      </w:hyperlink>
      <w:r>
        <w:t xml:space="preserve">, coherente con su motor inline6 y su baúl de 48L. En cambio,</w:t>
      </w:r>
      <w:r>
        <w:t xml:space="preserve"> </w:t>
      </w:r>
      <w:r>
        <w:rPr>
          <w:i/>
          <w:iCs/>
        </w:rPr>
        <w:t xml:space="preserve">Mustang</w:t>
      </w:r>
      <w:r>
        <w:t xml:space="preserve"> </w:t>
      </w:r>
      <w:r>
        <w:t xml:space="preserve">(engineBaySize 65L) acepta motores V8 (LS3) sin motivos</w:t>
      </w:r>
      <w:hyperlink r:id="rId29">
        <w:r>
          <w:rPr>
            <w:rStyle w:val="Hyperlink"/>
          </w:rPr>
          <w:t xml:space="preserve">[9]</w:t>
        </w:r>
      </w:hyperlink>
      <w:r>
        <w:t xml:space="preserve">, acorde a la regla de espacio suficiente.</w:t>
      </w:r>
    </w:p>
    <w:p>
      <w:pPr>
        <w:pStyle w:val="Compact"/>
        <w:numPr>
          <w:ilvl w:val="0"/>
          <w:numId w:val="1001"/>
        </w:numPr>
      </w:pPr>
      <w:r>
        <w:t xml:space="preserve">Verificamos que los vehículos NA (por ejemplo NSX, M3) muestran advertencia en todos sus turbos (cumpliendo “NA + turbo ⇒ advertencia”</w:t>
      </w:r>
      <w:hyperlink r:id="rId21">
        <w:r>
          <w:rPr>
            <w:rStyle w:val="Hyperlink"/>
          </w:rPr>
          <w:t xml:space="preserve">[1]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No encontramos inconsistencias en otras dependencias o conflictos: los kits de nitroso requieren ECU dedicadas (p.ej.</w:t>
      </w:r>
      <w:r>
        <w:t xml:space="preserve"> </w:t>
      </w:r>
      <w:r>
        <w:rPr>
          <w:i/>
          <w:iCs/>
        </w:rPr>
        <w:t xml:space="preserve">ZEX Blackout</w:t>
      </w:r>
      <w:r>
        <w:t xml:space="preserve"> </w:t>
      </w:r>
      <w:r>
        <w:t xml:space="preserve">exige</w:t>
      </w:r>
      <w:r>
        <w:t xml:space="preserve"> </w:t>
      </w:r>
      <w:r>
        <w:rPr>
          <w:i/>
          <w:iCs/>
        </w:rPr>
        <w:t xml:space="preserve">Haltech 2500</w:t>
      </w:r>
      <w:hyperlink r:id="rId30">
        <w:r>
          <w:rPr>
            <w:rStyle w:val="Hyperlink"/>
          </w:rPr>
          <w:t xml:space="preserve">[10]</w:t>
        </w:r>
      </w:hyperlink>
      <w:r>
        <w:t xml:space="preserve">), y las bloqueos (LSD) solo aparecen en tracción trasera/4WD, como se espera.</w:t>
      </w:r>
    </w:p>
    <w:bookmarkStart w:id="31" w:name="ejemplos-de-errores-encontrados"/>
    <w:p>
      <w:pPr>
        <w:pStyle w:val="Heading2"/>
      </w:pPr>
      <w:r>
        <w:t xml:space="preserve">Ejemplos de errores encontrados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Mazda RX-7 Spirit R (fd):</w:t>
      </w:r>
      <w:r>
        <w:t xml:space="preserve"> </w:t>
      </w:r>
      <w:r>
        <w:t xml:space="preserve">Seis piezas mal clasificadas. Por ejemplo, el</w:t>
      </w:r>
      <w:r>
        <w:t xml:space="preserve"> </w:t>
      </w:r>
      <w:r>
        <w:rPr>
          <w:i/>
          <w:iCs/>
        </w:rPr>
        <w:t xml:space="preserve">JB4 Tuning Module</w:t>
      </w:r>
      <w:r>
        <w:t xml:space="preserve"> </w:t>
      </w:r>
      <w:r>
        <w:t xml:space="preserve">(</w:t>
      </w:r>
      <w:r>
        <w:rPr>
          <w:i/>
          <w:iCs/>
        </w:rPr>
        <w:t xml:space="preserve">ecu-jb4-piggyback</w:t>
      </w:r>
      <w:r>
        <w:t xml:space="preserve">, ID</w:t>
      </w:r>
      <w:r>
        <w:t xml:space="preserve"> </w:t>
      </w:r>
      <w:r>
        <w:rPr>
          <w:rStyle w:val="VerbatimChar"/>
        </w:rPr>
        <w:t xml:space="preserve">ecu-jb4-piggyback</w:t>
      </w:r>
      <w:r>
        <w:t xml:space="preserve">) aparece en</w:t>
      </w:r>
      <w:r>
        <w:t xml:space="preserve"> </w:t>
      </w:r>
      <w:r>
        <w:rPr>
          <w:i/>
          <w:iCs/>
        </w:rPr>
        <w:t xml:space="preserve">incompatibleParts</w:t>
      </w:r>
      <w:r>
        <w:t xml:space="preserve"> </w:t>
      </w:r>
      <w:r>
        <w:t xml:space="preserve">con motivo</w:t>
      </w:r>
      <w:r>
        <w:t xml:space="preserve"> </w:t>
      </w:r>
      <w:r>
        <w:rPr>
          <w:i/>
          <w:iCs/>
        </w:rPr>
        <w:t xml:space="preserve">“Requiere disposición de motor: front”</w:t>
      </w:r>
      <w:hyperlink r:id="rId23">
        <w:r>
          <w:rPr>
            <w:rStyle w:val="Hyperlink"/>
          </w:rPr>
          <w:t xml:space="preserve">[3]</w:t>
        </w:r>
      </w:hyperlink>
      <w:r>
        <w:t xml:space="preserve">, pero el RX-7 es</w:t>
      </w:r>
      <w:r>
        <w:t xml:space="preserve"> </w:t>
      </w:r>
      <w:r>
        <w:rPr>
          <w:b/>
          <w:bCs/>
        </w:rPr>
        <w:t xml:space="preserve">motor delantero</w:t>
      </w:r>
      <w:r>
        <w:t xml:space="preserve">, por lo que debería ser compatible. De igual forma el</w:t>
      </w:r>
      <w:r>
        <w:t xml:space="preserve"> </w:t>
      </w:r>
      <w:r>
        <w:rPr>
          <w:i/>
          <w:iCs/>
        </w:rPr>
        <w:t xml:space="preserve">Getrag DCL600</w:t>
      </w:r>
      <w:r>
        <w:t xml:space="preserve"> </w:t>
      </w:r>
      <w:r>
        <w:t xml:space="preserve">(</w:t>
      </w:r>
      <w:r>
        <w:rPr>
          <w:i/>
          <w:iCs/>
        </w:rPr>
        <w:t xml:space="preserve">trans-getrag-dcl600</w:t>
      </w:r>
      <w:r>
        <w:t xml:space="preserve">) y el</w:t>
      </w:r>
      <w:r>
        <w:t xml:space="preserve"> </w:t>
      </w:r>
      <w:r>
        <w:rPr>
          <w:i/>
          <w:iCs/>
        </w:rPr>
        <w:t xml:space="preserve">PWR FMIC</w:t>
      </w:r>
      <w:r>
        <w:t xml:space="preserve"> </w:t>
      </w:r>
      <w:r>
        <w:t xml:space="preserve">(</w:t>
      </w:r>
      <w:r>
        <w:rPr>
          <w:i/>
          <w:iCs/>
        </w:rPr>
        <w:t xml:space="preserve">cooling-pwr-intercooler-fmic</w:t>
      </w:r>
      <w:r>
        <w:t xml:space="preserve">) están incompatibles por “requiere front”</w:t>
      </w:r>
      <w:hyperlink r:id="rId24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cuando en realidad la condición se cumple. También la</w:t>
      </w:r>
      <w:r>
        <w:t xml:space="preserve"> </w:t>
      </w:r>
      <w:r>
        <w:rPr>
          <w:i/>
          <w:iCs/>
        </w:rPr>
        <w:t xml:space="preserve">RE Amemiya RX-7 Wide Kit</w:t>
      </w:r>
      <w:r>
        <w:t xml:space="preserve"> </w:t>
      </w:r>
      <w:r>
        <w:t xml:space="preserve">(</w:t>
      </w:r>
      <w:r>
        <w:rPr>
          <w:i/>
          <w:iCs/>
        </w:rPr>
        <w:t xml:space="preserve">bodykit-reamemiya-rx7</w:t>
      </w:r>
      <w:r>
        <w:t xml:space="preserve">) aparece con razón “necesita rotary” y “requiere front”</w:t>
      </w:r>
      <w:hyperlink r:id="rId25">
        <w:r>
          <w:rPr>
            <w:rStyle w:val="Hyperlink"/>
          </w:rPr>
          <w:t xml:space="preserve">[5]</w:t>
        </w:r>
      </w:hyperlink>
      <w:r>
        <w:t xml:space="preserve">, pero el motor sí es rotary y delantero, de modo que la pieza es efectivamente compatible.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Toyota Supra A80 (supra-a80):</w:t>
      </w:r>
      <w:r>
        <w:t xml:space="preserve"> </w:t>
      </w:r>
      <w:r>
        <w:t xml:space="preserve">Varios supercargadores marcados como incompatibles (“Motor incompatible: necesita v6/v8”)</w:t>
      </w:r>
      <w:hyperlink r:id="rId22">
        <w:r>
          <w:rPr>
            <w:rStyle w:val="Hyperlink"/>
          </w:rPr>
          <w:t xml:space="preserve">[2]</w:t>
        </w:r>
      </w:hyperlink>
      <w:r>
        <w:t xml:space="preserve">. Según las reglas, añadir un supercargador a un motor turbo (en la Supra base turbo) debería ser</w:t>
      </w:r>
      <w:r>
        <w:t xml:space="preserve"> </w:t>
      </w:r>
      <w:r>
        <w:rPr>
          <w:b/>
          <w:bCs/>
        </w:rPr>
        <w:t xml:space="preserve">advertencia de twincharge</w:t>
      </w:r>
      <w:r>
        <w:t xml:space="preserve">, no incompatibilidad. Ejemplo: el</w:t>
      </w:r>
      <w:r>
        <w:t xml:space="preserve"> </w:t>
      </w:r>
      <w:r>
        <w:rPr>
          <w:i/>
          <w:iCs/>
        </w:rPr>
        <w:t xml:space="preserve">Whipple 2.3L Twin-Screw</w:t>
      </w:r>
      <w:r>
        <w:t xml:space="preserve"> </w:t>
      </w:r>
      <w:r>
        <w:t xml:space="preserve">(</w:t>
      </w:r>
      <w:r>
        <w:rPr>
          <w:i/>
          <w:iCs/>
        </w:rPr>
        <w:t xml:space="preserve">super-whipple-2-3</w:t>
      </w:r>
      <w:r>
        <w:t xml:space="preserve">, ID</w:t>
      </w:r>
      <w:r>
        <w:t xml:space="preserve"> </w:t>
      </w:r>
      <w:r>
        <w:rPr>
          <w:rStyle w:val="VerbatimChar"/>
        </w:rPr>
        <w:t xml:space="preserve">super-whipple-2-3</w:t>
      </w:r>
      <w:r>
        <w:t xml:space="preserve">) aparece incompatible con motivo</w:t>
      </w:r>
      <w:r>
        <w:t xml:space="preserve"> </w:t>
      </w:r>
      <w:r>
        <w:rPr>
          <w:i/>
          <w:iCs/>
        </w:rPr>
        <w:t xml:space="preserve">“necesita v8”</w:t>
      </w:r>
      <w:hyperlink r:id="rId22">
        <w:r>
          <w:rPr>
            <w:rStyle w:val="Hyperlink"/>
          </w:rPr>
          <w:t xml:space="preserve">[2]</w:t>
        </w:r>
      </w:hyperlink>
      <w:r>
        <w:t xml:space="preserve">, en vez de una advertencia.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Dodge Challenger SRT Hellcat (challenger-hellcat):</w:t>
      </w:r>
      <w:r>
        <w:t xml:space="preserve"> </w:t>
      </w:r>
      <w:r>
        <w:t xml:space="preserve">La rueda</w:t>
      </w:r>
      <w:r>
        <w:t xml:space="preserve"> </w:t>
      </w:r>
      <w:r>
        <w:rPr>
          <w:i/>
          <w:iCs/>
        </w:rPr>
        <w:t xml:space="preserve">XXR Budget 18x8.5</w:t>
      </w:r>
      <w:r>
        <w:t xml:space="preserve"> </w:t>
      </w:r>
      <w:r>
        <w:t xml:space="preserve">(</w:t>
      </w:r>
      <w:r>
        <w:rPr>
          <w:i/>
          <w:iCs/>
        </w:rPr>
        <w:t xml:space="preserve">wheels-xxr-budget-18x8-5</w:t>
      </w:r>
      <w:r>
        <w:t xml:space="preserve">) aparece en incompatible con</w:t>
      </w:r>
      <w:r>
        <w:t xml:space="preserve"> </w:t>
      </w:r>
      <w:r>
        <w:rPr>
          <w:i/>
          <w:iCs/>
        </w:rPr>
        <w:t xml:space="preserve">“requiere 4x100 o 5x100 o 5x114.3”</w:t>
      </w:r>
      <w:hyperlink r:id="rId27">
        <w:r>
          <w:rPr>
            <w:rStyle w:val="Hyperlink"/>
          </w:rPr>
          <w:t xml:space="preserve">[7]</w:t>
        </w:r>
      </w:hyperlink>
      <w:r>
        <w:t xml:space="preserve">, pero el Hellcat tiene patrón</w:t>
      </w:r>
      <w:r>
        <w:t xml:space="preserve"> </w:t>
      </w:r>
      <w:r>
        <w:rPr>
          <w:b/>
          <w:bCs/>
        </w:rPr>
        <w:t xml:space="preserve">5x114.3</w:t>
      </w:r>
      <w:r>
        <w:t xml:space="preserve">, el cual figura entre los requeridos. Esto significa que la rueda</w:t>
      </w:r>
      <w:r>
        <w:t xml:space="preserve"> </w:t>
      </w:r>
      <w:r>
        <w:rPr>
          <w:b/>
          <w:bCs/>
        </w:rPr>
        <w:t xml:space="preserve">sí es compatible</w:t>
      </w:r>
      <w:r>
        <w:t xml:space="preserve">, de modo que su inclusión en incompatibles y su razón son incorrectas.</w:t>
      </w:r>
    </w:p>
    <w:bookmarkEnd w:id="31"/>
    <w:bookmarkStart w:id="32" w:name="resumen-de-inconsistencias-encontradas"/>
    <w:p>
      <w:pPr>
        <w:pStyle w:val="Heading2"/>
      </w:pPr>
      <w:r>
        <w:t xml:space="preserve">Resumen de inconsistencias encontradas</w:t>
      </w:r>
    </w:p>
    <w:p>
      <w:pPr>
        <w:pStyle w:val="FirstParagraph"/>
      </w:pPr>
      <w:r>
        <w:t xml:space="preserve">En total hallamos</w:t>
      </w:r>
      <w:r>
        <w:t xml:space="preserve"> </w:t>
      </w:r>
      <w:r>
        <w:rPr>
          <w:b/>
          <w:bCs/>
        </w:rPr>
        <w:t xml:space="preserve">6 inconsistencias</w:t>
      </w:r>
      <w:r>
        <w:t xml:space="preserve"> </w:t>
      </w:r>
      <w:r>
        <w:t xml:space="preserve">concretas: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Mazda RX-7 Spirit R (fd)</w:t>
      </w:r>
      <w:r>
        <w:t xml:space="preserve"> </w:t>
      </w:r>
      <w:r>
        <w:t xml:space="preserve">– Piezas afectadas: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ecu-jb4-piggyback</w:t>
      </w:r>
      <w:r>
        <w:t xml:space="preserve"> </w:t>
      </w:r>
      <w:r>
        <w:t xml:space="preserve">(JB4 Module) – marcado incompatible por “requiere disposición front”</w:t>
      </w:r>
      <w:hyperlink r:id="rId23">
        <w:r>
          <w:rPr>
            <w:rStyle w:val="Hyperlink"/>
          </w:rPr>
          <w:t xml:space="preserve">[3]</w:t>
        </w:r>
      </w:hyperlink>
      <w:r>
        <w:t xml:space="preserve">, cuando el motor es delantero.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trans-getrag-dcl600</w:t>
      </w:r>
      <w:r>
        <w:t xml:space="preserve"> </w:t>
      </w:r>
      <w:r>
        <w:t xml:space="preserve">(DCL600) – similar motivo (“requiere front”) incorrecto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bodykit-reamemiya-rx7</w:t>
      </w:r>
      <w:r>
        <w:t xml:space="preserve"> </w:t>
      </w:r>
      <w:r>
        <w:t xml:space="preserve">(RE Amemiya Wide Kit) – razones incl. “necesita rotary” y “requiere front”</w:t>
      </w:r>
      <w:hyperlink r:id="rId25">
        <w:r>
          <w:rPr>
            <w:rStyle w:val="Hyperlink"/>
          </w:rPr>
          <w:t xml:space="preserve">[5]</w:t>
        </w:r>
      </w:hyperlink>
      <w:r>
        <w:t xml:space="preserve">, pero el RX-7 cumple ambas condiciones.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cooling-pwr-intercooler-fmic</w:t>
      </w:r>
      <w:r>
        <w:t xml:space="preserve"> </w:t>
      </w:r>
      <w:r>
        <w:t xml:space="preserve">(PWR FMIC) – marcado incompatible por “requiere front”</w:t>
      </w:r>
      <w:hyperlink r:id="rId26">
        <w:r>
          <w:rPr>
            <w:rStyle w:val="Hyperlink"/>
          </w:rPr>
          <w:t xml:space="preserve">[6]</w:t>
        </w:r>
      </w:hyperlink>
      <w:r>
        <w:t xml:space="preserve">, lo cual es falso.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Toyota Supra A80 (supra-a80)</w:t>
      </w:r>
      <w:r>
        <w:t xml:space="preserve"> </w:t>
      </w:r>
      <w:r>
        <w:t xml:space="preserve">– Piezas afectadas: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super-whipple-2-3</w:t>
      </w:r>
      <w:r>
        <w:t xml:space="preserve"> </w:t>
      </w:r>
      <w:r>
        <w:t xml:space="preserve">(Whipple 2.3L Supercharger) – puesto incompatible por “necesita v8”</w:t>
      </w:r>
      <w:hyperlink r:id="rId22">
        <w:r>
          <w:rPr>
            <w:rStyle w:val="Hyperlink"/>
          </w:rPr>
          <w:t xml:space="preserve">[2]</w:t>
        </w:r>
      </w:hyperlink>
      <w:r>
        <w:t xml:space="preserve">, aunque debería ser advertencia de twin-charging según regla.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Dodge Challenger SRT Hellcat (challenger-hellcat)</w:t>
      </w:r>
      <w:r>
        <w:t xml:space="preserve"> </w:t>
      </w:r>
      <w:r>
        <w:t xml:space="preserve">– Piezas afectadas: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wheels-xxr-budget-18x8-5</w:t>
      </w:r>
      <w:r>
        <w:t xml:space="preserve"> </w:t>
      </w:r>
      <w:r>
        <w:t xml:space="preserve">(XXR Budget 18x8.5) – marcado incompatible con “requiere 5x114.3”</w:t>
      </w:r>
      <w:hyperlink r:id="rId27">
        <w:r>
          <w:rPr>
            <w:rStyle w:val="Hyperlink"/>
          </w:rPr>
          <w:t xml:space="preserve">[7]</w:t>
        </w:r>
      </w:hyperlink>
      <w:r>
        <w:t xml:space="preserve">, cuando el vehículo también es 5x114.3.</w:t>
      </w:r>
    </w:p>
    <w:p>
      <w:pPr>
        <w:pStyle w:val="FirstParagraph"/>
      </w:pPr>
      <w:r>
        <w:t xml:space="preserve">Cada caso está ejemplificado arriba con su ID y justificación. En el resto de los vehículos revisados no se encontraron violaciones graves de las reglas definidas.</w:t>
      </w:r>
    </w:p>
    <w:p>
      <w:pPr>
        <w:pStyle w:val="BodyText"/>
      </w:pPr>
      <w:r>
        <w:rPr>
          <w:b/>
          <w:bCs/>
        </w:rPr>
        <w:t xml:space="preserve">Fuentes:</w:t>
      </w:r>
      <w:r>
        <w:t xml:space="preserve"> </w:t>
      </w:r>
      <w:r>
        <w:t xml:space="preserve">Datos extraídos directamente de</w:t>
      </w:r>
      <w:r>
        <w:t xml:space="preserve"> </w:t>
      </w:r>
      <w:r>
        <w:rPr>
          <w:i/>
          <w:iCs/>
        </w:rPr>
        <w:t xml:space="preserve">vehicle_compatibility_merged.json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, conforme a las reglas en</w:t>
      </w:r>
      <w:r>
        <w:t xml:space="preserve"> </w:t>
      </w:r>
      <w:r>
        <w:rPr>
          <w:i/>
          <w:iCs/>
        </w:rPr>
        <w:t xml:space="preserve">COMPATIBILITY_RULES.md</w:t>
      </w:r>
      <w:r>
        <w:t xml:space="preserve">.</w:t>
      </w:r>
    </w:p>
    <w:bookmarkEnd w:id="32"/>
    <w:bookmarkEnd w:id="33"/>
    <w:bookmarkEnd w:id="34"/>
    <w:p>
      <w:r>
        <w:pict>
          <v:rect style="width:0;height:1.5pt" o:hralign="center" o:hrstd="t" o:hr="t"/>
        </w:pict>
      </w:r>
    </w:p>
    <w:bookmarkStart w:id="3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vehicle_compatibility_merged.json</w:t>
      </w:r>
    </w:p>
    <w:p>
      <w:pPr>
        <w:pStyle w:val="BodyText"/>
      </w:pPr>
      <w:hyperlink r:id="rId35">
        <w:r>
          <w:rPr>
            <w:rStyle w:val="Hyperlink"/>
          </w:rPr>
          <w:t xml:space="preserve">file://file_000000009324722f8a478e977848731c</w:t>
        </w:r>
      </w:hyperlink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file://file_000000009324722f8a478e977848731c" TargetMode="External" /><Relationship Type="http://schemas.openxmlformats.org/officeDocument/2006/relationships/hyperlink" Id="rId25" Target="file://file_000000009324722f8a478e977848731c#:~:text=%22id%22%3A%20%22bodykit,Requiere%20disposici%C3%B3n%20de%20motor%3A%20front" TargetMode="External" /><Relationship Type="http://schemas.openxmlformats.org/officeDocument/2006/relationships/hyperlink" Id="rId26" Target="file://file_000000009324722f8a478e977848731c#:~:text=%22id%22%3A%20%22cooling," TargetMode="External" /><Relationship Type="http://schemas.openxmlformats.org/officeDocument/2006/relationships/hyperlink" Id="rId23" Target="file://file_000000009324722f8a478e977848731c#:~:text=%22id%22%3A%20%22ecu," TargetMode="External" /><Relationship Type="http://schemas.openxmlformats.org/officeDocument/2006/relationships/hyperlink" Id="rId29" Target="file://file_000000009324722f8a478e977848731c#:~:text=%22id%22%3A%20%22engine,%5B%5D" TargetMode="External" /><Relationship Type="http://schemas.openxmlformats.org/officeDocument/2006/relationships/hyperlink" Id="rId28" Target="file://file_000000009324722f8a478e977848731c#:~:text=%22id%22%3A%20%22engine,Compartimento%20motor%20insuficiente%3A%20requiere%2050L" TargetMode="External" /><Relationship Type="http://schemas.openxmlformats.org/officeDocument/2006/relationships/hyperlink" Id="rId30" Target="file://file_000000009324722f8a478e977848731c#:~:text=%22id%22%3A%20%22nitrous,2500%22" TargetMode="External" /><Relationship Type="http://schemas.openxmlformats.org/officeDocument/2006/relationships/hyperlink" Id="rId22" Target="file://file_000000009324722f8a478e977848731c#:~:text=%22id%22%3A%20%22super," TargetMode="External" /><Relationship Type="http://schemas.openxmlformats.org/officeDocument/2006/relationships/hyperlink" Id="rId24" Target="file://file_000000009324722f8a478e977848731c#:~:text=%22id%22%3A%20%22trans," TargetMode="External" /><Relationship Type="http://schemas.openxmlformats.org/officeDocument/2006/relationships/hyperlink" Id="rId27" Target="file://file_000000009324722f8a478e977848731c#:~:text=,%5B%5D" TargetMode="External" /><Relationship Type="http://schemas.openxmlformats.org/officeDocument/2006/relationships/hyperlink" Id="rId21" Target="file://file_000000009324722f8a478e977848731c#:~:text=match%20at%20L8783%20,%5D%20%7D%2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file://file_000000009324722f8a478e977848731c" TargetMode="External" /><Relationship Type="http://schemas.openxmlformats.org/officeDocument/2006/relationships/hyperlink" Id="rId25" Target="file://file_000000009324722f8a478e977848731c#:~:text=%22id%22%3A%20%22bodykit,Requiere%20disposici%C3%B3n%20de%20motor%3A%20front" TargetMode="External" /><Relationship Type="http://schemas.openxmlformats.org/officeDocument/2006/relationships/hyperlink" Id="rId26" Target="file://file_000000009324722f8a478e977848731c#:~:text=%22id%22%3A%20%22cooling," TargetMode="External" /><Relationship Type="http://schemas.openxmlformats.org/officeDocument/2006/relationships/hyperlink" Id="rId23" Target="file://file_000000009324722f8a478e977848731c#:~:text=%22id%22%3A%20%22ecu," TargetMode="External" /><Relationship Type="http://schemas.openxmlformats.org/officeDocument/2006/relationships/hyperlink" Id="rId29" Target="file://file_000000009324722f8a478e977848731c#:~:text=%22id%22%3A%20%22engine,%5B%5D" TargetMode="External" /><Relationship Type="http://schemas.openxmlformats.org/officeDocument/2006/relationships/hyperlink" Id="rId28" Target="file://file_000000009324722f8a478e977848731c#:~:text=%22id%22%3A%20%22engine,Compartimento%20motor%20insuficiente%3A%20requiere%2050L" TargetMode="External" /><Relationship Type="http://schemas.openxmlformats.org/officeDocument/2006/relationships/hyperlink" Id="rId30" Target="file://file_000000009324722f8a478e977848731c#:~:text=%22id%22%3A%20%22nitrous,2500%22" TargetMode="External" /><Relationship Type="http://schemas.openxmlformats.org/officeDocument/2006/relationships/hyperlink" Id="rId22" Target="file://file_000000009324722f8a478e977848731c#:~:text=%22id%22%3A%20%22super," TargetMode="External" /><Relationship Type="http://schemas.openxmlformats.org/officeDocument/2006/relationships/hyperlink" Id="rId24" Target="file://file_000000009324722f8a478e977848731c#:~:text=%22id%22%3A%20%22trans," TargetMode="External" /><Relationship Type="http://schemas.openxmlformats.org/officeDocument/2006/relationships/hyperlink" Id="rId27" Target="file://file_000000009324722f8a478e977848731c#:~:text=,%5B%5D" TargetMode="External" /><Relationship Type="http://schemas.openxmlformats.org/officeDocument/2006/relationships/hyperlink" Id="rId21" Target="file://file_000000009324722f8a478e977848731c#:~:text=match%20at%20L8783%20,%5D%20%7D%2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2025-12-01T18:36:20Z</dcterms:created>
  <dcterms:modified xsi:type="dcterms:W3CDTF">2025-12-01T18:36:20Z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