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Branding Skill Expansion Memo</w:t>
      </w:r>
    </w:p>
    <w:p>
      <w:r>
        <w:t>15 October 2026  |  Product direction and research brief</w:t>
      </w:r>
    </w:p>
    <w:p>
      <w:r>
        <w:t>We plan to evolve Tech Branding &amp; Logo into a branding orchestrator that selects domain expertise, supports permanent identities and temporary campaigns, and gathers context through a short, adaptive conversation. This memo records the direction agreed in our discussion and defines the knowledge we need to research before implementation.</w:t>
      </w:r>
    </w:p>
    <w:p>
      <w:pPr>
        <w:pStyle w:val="Heading1"/>
      </w:pPr>
      <w:r>
        <w:t>Why the skill needs to evolve</w:t>
      </w:r>
    </w:p>
    <w:p>
      <w:r>
        <w:t>The current skill explicitly targets technology products. Its workflow emphasises app icons, favicons, software interfaces, geometric symbols and digital product applications. We have reported weak results outside tech; these defaults are a plausible contributor. Comparing an actual failed output with its prompt is still needed to establish the cause.</w:t>
      </w:r>
    </w:p>
    <w:p>
      <w:r>
        <w:t>Preserve the foundation of business truth, audience, positioning, brand psychology, creative direction and quality control. Broaden how those principles are applied. Allow wordmarks, lettering, monograms, emblems, illustrative identities and symbols according to the brief. Evaluate each identity on its intended surfaces.</w:t>
      </w:r>
    </w:p>
    <w:p>
      <w:pPr>
        <w:pStyle w:val="Heading1"/>
      </w:pPr>
      <w:r>
        <w:t>Orchestrator and specialist responsibilities</w:t>
      </w:r>
    </w:p>
    <w:tbl>
      <w:tblPr>
        <w:tblW w:type="auto" w:w="0"/>
        <w:jc w:val="center"/>
        <w:tblLayout w:type="fixed"/>
        <w:tblLook w:firstColumn="1" w:firstRow="1" w:lastColumn="0" w:lastRow="0" w:noHBand="0" w:noVBand="1" w:val="04A0"/>
      </w:tblPr>
      <w:tblGrid>
        <w:gridCol w:w="2448"/>
        <w:gridCol w:w="7632"/>
      </w:tblGrid>
      <w:tr>
        <w:trPr>
          <w:cantSplit/>
          <w:tblHeader/>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Layer</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Responsibility</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Branding orchestrator</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Interpret the brief, select expertise, resolve conflicts, maintain approved decisions and direct the work.</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Domain specialists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Supply industry questions, category knowledge, useful conventions, clichés to avoid and application constraints.</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Cross domain specialists</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Address needs that span industries, such as B2B buying, luxury positioning, cultural context and packaging.</w:t>
            </w:r>
          </w:p>
        </w:tc>
      </w:tr>
      <w:tr>
        <w:trPr>
          <w:cantSplit/>
        </w:trPr>
        <w:tc>
          <w:tcPr>
            <w:tcW w:type="dxa" w:w="244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Execution and critique</w:t>
            </w:r>
          </w:p>
        </w:tc>
        <w:tc>
          <w:tcPr>
            <w:tcW w:type="dxa" w:w="76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Translate the direction into typography, logos, imagery and applications, then inspect the results.</w:t>
            </w:r>
          </w:p>
        </w:tc>
      </w:tr>
    </w:tbl>
    <w:p/>
    <w:p>
      <w:r>
        <w:t>Begin with one agent selectively loading specialist modules. Separate agents can later support independent research, competing directions or critique when the benefit justifies the extra context and coordination.</w:t>
      </w:r>
    </w:p>
    <w:p>
      <w:pPr>
        <w:pStyle w:val="Heading2"/>
      </w:pPr>
      <w:r>
        <w:t>A consistent specialist response</w:t>
      </w:r>
    </w:p>
    <w:p>
      <w:r>
        <w:t>Every specialist should return brief-specific priorities, consequential missing information, visual possibilities with rationale, clichés and failure modes, application constraints, evaluation criteria, and assumptions or conflicts for the orchestrator to resolve.</w:t>
      </w:r>
    </w:p>
    <w:p>
      <w:r>
        <w:br w:type="page"/>
      </w:r>
    </w:p>
    <w:p>
      <w:pPr>
        <w:pStyle w:val="Heading1"/>
      </w:pPr>
      <w:r>
        <w:t>Domain selection and cross referencing</w:t>
      </w:r>
    </w:p>
    <w:tbl>
      <w:tblPr>
        <w:tblW w:type="auto" w:w="0"/>
        <w:jc w:val="center"/>
        <w:tblLayout w:type="fixed"/>
        <w:tblLook w:firstColumn="1" w:firstRow="1" w:lastColumn="0" w:lastRow="0" w:noHBand="0" w:noVBand="1" w:val="04A0"/>
      </w:tblPr>
      <w:tblGrid>
        <w:gridCol w:w="1800"/>
        <w:gridCol w:w="4392"/>
        <w:gridCol w:w="3888"/>
      </w:tblGrid>
      <w:tr>
        <w:trPr>
          <w:cantSplit/>
          <w:tblHeader/>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Domain</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Context to understand</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Representative applications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Food and hospitality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Cuisine or product category, occasion, price, service experience and cultural context</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Menus, signage, packaging and delivery thumbnails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Real estate</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Developer, brokerage or property; location, buyer and purchase motivation</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Hoardings, building signage, listings and brochures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Fashion and apparel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Subculture, price tier, materials, silhouettes and brand attitude</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Labels, embroidery, hangtags, ecommerce and campaigns</w:t>
            </w:r>
          </w:p>
        </w:tc>
      </w:tr>
      <w:tr>
        <w:trPr>
          <w:cantSplit/>
        </w:trPr>
        <w:tc>
          <w:tcPr>
            <w:tcW w:type="dxa" w:w="180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Technology</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Product category, user sophistication, workflow and trust requirements</w:t>
            </w:r>
          </w:p>
        </w:tc>
        <w:tc>
          <w:tcPr>
            <w:tcW w:type="dxa" w:w="3888"/>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Product UI, app icons, documentation and websites</w:t>
            </w:r>
          </w:p>
        </w:tc>
      </w:tr>
    </w:tbl>
    <w:p/>
    <w:p>
      <w:r>
        <w:t>Treat B2B as a buying-context overlay. A food wholesaler and an enterprise software company share some procurement concerns while requiring different creative decisions. Do not collapse them into one visual style.</w:t>
      </w:r>
    </w:p>
    <w:p>
      <w:r>
        <w:t>Cross-reference expertise only when the brief gives it a useful role. For a premium bakery selling to hotels, food informs product appeal and provenance; hospitality informs the service context; B2B informs reliability and buyer confidence. Packaging expertise is needed when packaging is a deliverable. The orchestrator combines relevant findings into one direction rather than blending unrelated aesthetics.</w:t>
      </w:r>
    </w:p>
    <w:p>
      <w:pPr>
        <w:pStyle w:val="Heading1"/>
      </w:pPr>
      <w:r>
        <w:t>Scope and operating modes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Scope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Purpose and modes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Brand identity</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Create or evolve the lasting identity. Retain zero-to-brand, name-to-brand and brand evolution as submodes.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Campaign direction</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Create a temporary concept for a launch, collection, promotion or occasion, including social campaigns.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Brand application</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Produce assets within an established identity, such as posts, packaging or presentations.</w:t>
            </w:r>
          </w:p>
        </w:tc>
      </w:tr>
    </w:tbl>
    <w:p/>
    <w:p>
      <w:pPr>
        <w:pStyle w:val="Heading2"/>
      </w:pPr>
      <w:r>
        <w:t>Creative freedom for campaigns</w:t>
      </w:r>
    </w:p>
    <w:p>
      <w:pPr>
        <w:pStyle w:val="ListBullet"/>
      </w:pPr>
      <w:r>
        <w:t>Brand-led: retain the established identity prominently while introducing a campaign message and concept.</w:t>
      </w:r>
    </w:p>
    <w:p>
      <w:pPr>
        <w:pStyle w:val="ListBullet"/>
      </w:pPr>
      <w:r>
        <w:t>Brand-adjacent: introduce new colour, typography, imagery or tone while retaining selected recognisable elements.</w:t>
      </w:r>
    </w:p>
    <w:p>
      <w:pPr>
        <w:pStyle w:val="ListBullet"/>
      </w:pPr>
      <w:r>
        <w:t>Independent direction: create a deliberately different visual world, retaining only the attribution and fixed requirements specified for the project.</w:t>
      </w:r>
    </w:p>
    <w:p>
      <w:r>
        <w:t>Infer the appropriate settings from the request and clarify only consequential uncertainty. The user should not have to navigate a taxonomy before getting help.</w:t>
      </w:r>
    </w:p>
    <w:p>
      <w:r>
        <w:br w:type="page"/>
      </w:r>
    </w:p>
    <w:p>
      <w:pPr>
        <w:pStyle w:val="Heading1"/>
      </w:pPr>
      <w:r>
        <w:t>Campaign workflow and brand continuity</w:t>
      </w:r>
    </w:p>
    <w:p>
      <w:r>
        <w:t>Capture the campaign objective, audience, product or offer, occasion, channels, deliverables, duration, relationship to the parent brand and fixed requirements. Fixed requirements may include exact product appearance, logo treatment, approved claims, copy and disclosures.</w:t>
      </w:r>
    </w:p>
    <w:p>
      <w:r>
        <w:t>Develop a campaign idea, then a key visual, rules for variations and channel-specific assets. A moodboard alone does not complete the job. Art direction should specify composition, typography treatment, photography or illustration style, materials and application. A logo concept, packaging mockup and campaign image require different generation instructions and checks.</w:t>
      </w:r>
    </w:p>
    <w:p>
      <w:r>
        <w:t>Keep campaign decisions separate from the master brand. Record what the campaign may override, what remains fixed, and where the direction applies. Do not silently promote temporary campaign colours or typography into the permanent identity.</w:t>
      </w:r>
    </w:p>
    <w:p>
      <w:r>
        <w:t>Example: a restrained monochrome apparel brand requests a loud, nostalgic summer drop. Route to apparel expertise, campaign art direction and social execution. Establish what must remain recognisable, then explore lettering, photography, colour and layouts within that boundary.</w:t>
      </w:r>
    </w:p>
    <w:p>
      <w:pPr>
        <w:pStyle w:val="Heading1"/>
      </w:pPr>
      <w:r>
        <w:t>Adaptive intake and token efficiency</w:t>
      </w:r>
    </w:p>
    <w:p>
      <w:r>
        <w:t>Ask the smallest number of easy questions that materially changes the work. Read the conversation, existing project state and supplied references first. Translate ordinary answers into a structured brief internally; avoid requiring users to explain positioning theory or brand archetypes.</w:t>
      </w:r>
    </w:p>
    <w:p>
      <w:pPr>
        <w:pStyle w:val="Heading2"/>
      </w:pPr>
      <w:r>
        <w:t>Example conversation</w:t>
      </w:r>
    </w:p>
    <w:p>
      <w:r>
        <w:t>Start with: “What are we making, and what do you want people to do after seeing it?”</w:t>
      </w:r>
    </w:p>
    <w:p>
      <w:r>
        <w:t>An answer such as “Instagram campaign for our new oversized tees; we want college students to buy” already supplies scope, channel, product, audience and objective. Do not ask for those fields again.</w:t>
      </w:r>
    </w:p>
    <w:p>
      <w:r>
        <w:t>Useful follow-ups, only if unanswered: “How different can this feel: familiar, a fresh twist, or completely different?” “Any reference you like, or should I propose directions?” “What must appear: product photos, logo, price or launch date?”</w:t>
      </w:r>
    </w:p>
    <w:p>
      <w:pPr>
        <w:pStyle w:val="Heading2"/>
      </w:pPr>
      <w:r>
        <w:t>Intake and context rules</w:t>
      </w:r>
    </w:p>
    <w:p>
      <w:pPr>
        <w:pStyle w:val="ListBullet"/>
      </w:pPr>
      <w:r>
        <w:t>Prioritise gaps that change scope, creative direction, required assets or production constraints. Accept short choices, reference images and “choose for me.”</w:t>
      </w:r>
    </w:p>
    <w:p>
      <w:pPr>
        <w:pStyle w:val="ListBullet"/>
      </w:pPr>
      <w:r>
        <w:t>Begin once there is enough context. State noncritical assumptions and defer later-stage production questions until they matter.</w:t>
      </w:r>
    </w:p>
    <w:p>
      <w:pPr>
        <w:pStyle w:val="ListBullet"/>
      </w:pPr>
      <w:r>
        <w:t>Maintain one compact brief containing confirmed facts, assumptions, unresolved questions and approved decisions. Load only relevant modules; specialists should not repeat discovery.</w:t>
      </w:r>
    </w:p>
    <w:p>
      <w:pPr>
        <w:pStyle w:val="ListBullet"/>
      </w:pPr>
      <w:r>
        <w:t>When delegating, pass the shared brief and the specific task instead of the full conversation. Ask follow-ups only for consequential gaps.</w:t>
      </w:r>
    </w:p>
    <w:p>
      <w:pPr>
        <w:pStyle w:val="ListBullet"/>
      </w:pPr>
      <w:r>
        <w:t>Propose creative choices, but do not invent product ingredients, offer prices, launch dates or approved claims. Preserve rejected directions to avoid repeating them.</w:t>
      </w:r>
    </w:p>
    <w:p>
      <w:r>
        <w:br w:type="page"/>
      </w:r>
    </w:p>
    <w:p>
      <w:pPr>
        <w:pStyle w:val="Heading1"/>
      </w:pPr>
      <w:r>
        <w:t>Research agenda for specialist knowledge</w:t>
      </w:r>
    </w:p>
    <w:p>
      <w:r>
        <w:t>The next step is to research books on domain-specific branding, marketing and design. Book selection remains open. The aim is to extract decision methods and examples that improve the specialist modules, rather than accumulate broad summaries.</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Research area</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9EFF4"/>
          </w:tcPr>
          <w:p>
            <w:pPr>
              <w:spacing w:after="40" w:line="240" w:lineRule="auto"/>
            </w:pPr>
            <w:r>
              <w:rPr>
                <w:b/>
                <w:sz w:val="20"/>
              </w:rPr>
              <w:t>Knowledge to extract</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Food and FMCG</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Category and occasion, purchase behaviour, packaging hierarchy, shelf recognition, product imagery and campaign systems.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Fashion and apparel</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Brand codes, subcultures, collection narratives, editorial art direction, typography, garment applications and seasonal campaigns.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Real estate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Place and property positioning, buyer trust, developer versus project identity, wayfinding, signage and sales materials.</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B2B marketing</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Buying groups, credibility, evidence, decision journeys and how these affect messaging and visual presentation.</w:t>
            </w:r>
          </w:p>
        </w:tc>
      </w:tr>
      <w:tr>
        <w:trPr>
          <w:cantSplit/>
        </w:trP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Shared design practice</w:t>
            </w:r>
          </w:p>
        </w:tc>
        <w:tc>
          <w:tcPr>
            <w:tcW w:type="dxa" w:w="777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40" w:lineRule="auto"/>
            </w:pPr>
            <w:r>
              <w:rPr>
                <w:b w:val="0"/>
                <w:sz w:val="20"/>
              </w:rPr>
              <w:t>Identity systems, typography, composition, imagery, campaign concepts, cultural context and production constraints.</w:t>
            </w:r>
          </w:p>
        </w:tc>
      </w:tr>
    </w:tbl>
    <w:p/>
    <w:p>
      <w:pPr>
        <w:pStyle w:val="Heading2"/>
      </w:pPr>
      <w:r>
        <w:t>Suggested research capture format</w:t>
      </w:r>
    </w:p>
    <w:p>
      <w:r>
        <w:t>For each useful source, record the title, author, edition and chapter or page reference; the principle in our own words; when it applies and when it does not; the question it helps answer; the resulting design decision; contrasting examples; and a quality check. Keep source-derived guidance separate from our interpretation.</w:t>
      </w:r>
    </w:p>
    <w:p>
      <w:r>
        <w:t>Convert research into compact specialist guidance with clear loading triggers. Teach choices and trade-offs within a category. Avoid blanket prescriptions such as “food uses warm colours” or “real estate uses gold.” Books can supply durable methods; contemporary examples can test whether those methods transfer to the intended audience and channel.</w:t>
      </w:r>
    </w:p>
    <w:p>
      <w:pPr>
        <w:pStyle w:val="Heading1"/>
      </w:pPr>
      <w:r>
        <w:t>First release and evidence of improvement</w:t>
      </w:r>
    </w:p>
    <w:p>
      <w:r>
        <w:t>The proposed initial scope is the orchestrator plus technology, food, real estate and fashion knowledge, with a B2B overlay. Include the three work scopes, campaign freedom settings and adaptive intake. Preserve the existing technology capability. Additional specialists should follow demonstrated needs.</w:t>
      </w:r>
    </w:p>
    <w:p>
      <w:r>
        <w:t>Start evaluation with a disappointing output and its original brief. Compare the current and revised workflows using the same brief and image model where possible. Include ordinary single-domain tasks, a mixed-domain brief, a temporary campaign and an application of an existing identity.</w:t>
      </w:r>
    </w:p>
    <w:p>
      <w:r>
        <w:t>Assess relevance to the audience, distinctiveness, visual coherence, legibility, practical usability and instruction adherence. Check that routing selects useful expertise, campaign work preserves the master identity, and intake avoids redundant questions. Track question count and context use alongside output quality; lower token use must not discard necessary facts.</w:t>
      </w:r>
    </w:p>
    <w:p>
      <w:r>
        <w:t>Existing project: https://github.com/Atmech/tech-branding-logo-repo</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Branding Skill Expansion Memo</dc:title>
  <dc:subject>Orchestration, domain expertise, campaign modes and adaptive intake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