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Times New Roman" w:cs="Times New Roman" w:eastAsia="Times New Roman" w:hAnsi="Times New Roman"/>
        </w:rPr>
        <w:t xml:space="preserve">Jawaban portofolio: memelihara kehidupan dan taat kepada ulil amri</w:t>
      </w:r>
    </w:p>
    <w:p>
      <w:pPr>
        <w:spacing w:after="120" w:line="300"/>
        <w:jc w:val="left"/>
      </w:pPr>
      <w:r>
        <w:rPr>
          <w:rFonts w:ascii="Times New Roman" w:cs="Times New Roman" w:eastAsia="Times New Roman" w:hAnsi="Times New Roman"/>
          <w:sz w:val="24"/>
          <w:szCs w:val="24"/>
        </w:rPr>
        <w:t xml:space="preserve">Nama: ....................................................</w:t>
      </w:r>
    </w:p>
    <w:p>
      <w:pPr>
        <w:spacing w:after="120" w:line="300"/>
        <w:jc w:val="left"/>
      </w:pPr>
      <w:r>
        <w:rPr>
          <w:rFonts w:ascii="Times New Roman" w:cs="Times New Roman" w:eastAsia="Times New Roman" w:hAnsi="Times New Roman"/>
          <w:sz w:val="24"/>
          <w:szCs w:val="24"/>
        </w:rPr>
        <w:t xml:space="preserve">Kelas: ....................................................</w:t>
      </w:r>
    </w:p>
    <w:p>
      <w:pPr>
        <w:pStyle w:val="Heading1"/>
      </w:pPr>
      <w:r>
        <w:rPr>
          <w:rFonts w:ascii="Times New Roman" w:cs="Times New Roman" w:eastAsia="Times New Roman" w:hAnsi="Times New Roman"/>
        </w:rPr>
        <w:t xml:space="preserve">Portofolio 1 (lembar kerja / latihan soal)</w:t>
      </w:r>
    </w:p>
    <w:p>
      <w:pPr>
        <w:spacing w:after="120" w:line="300"/>
        <w:jc w:val="left"/>
      </w:pPr>
      <w:r>
        <w:rPr>
          <w:rFonts w:ascii="Times New Roman" w:cs="Times New Roman" w:eastAsia="Times New Roman" w:hAnsi="Times New Roman"/>
          <w:sz w:val="24"/>
          <w:szCs w:val="24"/>
        </w:rPr>
        <w:t xml:space="preserve">Kajian QS Al-Ma'idah ayat 32 dan QS An-Nisa' ayat 59</w:t>
      </w:r>
    </w:p>
    <w:p>
      <w:pPr>
        <w:pStyle w:val="Heading2"/>
      </w:pPr>
      <w:r>
        <w:rPr>
          <w:rFonts w:ascii="Times New Roman" w:cs="Times New Roman" w:eastAsia="Times New Roman" w:hAnsi="Times New Roman"/>
        </w:rPr>
        <w:t xml:space="preserve">1. QS Al-Ma'idah/5: 32</w:t>
      </w:r>
    </w:p>
    <w:p>
      <w:pPr>
        <w:pStyle w:val="Heading3"/>
      </w:pPr>
      <w:r>
        <w:rPr>
          <w:rFonts w:ascii="Times New Roman" w:cs="Times New Roman" w:eastAsia="Times New Roman" w:hAnsi="Times New Roman"/>
        </w:rPr>
        <w:t xml:space="preserve">Ayat</w:t>
      </w:r>
    </w:p>
    <w:p>
      <w:pPr>
        <w:bidi/>
        <w:spacing w:after="120" w:before="60" w:line="440"/>
        <w:jc w:val="center"/>
      </w:pPr>
      <w:r>
        <w:rPr>
          <w:rFonts w:ascii="Traditional Arabic" w:cs="Traditional Arabic" w:eastAsia="Traditional Arabic" w:hAnsi="Traditional Arabic"/>
          <w:sz w:val="36"/>
          <w:szCs w:val="36"/>
          <w:rtl/>
        </w:rPr>
        <w:t xml:space="preserve">مِنْ أَجْلِ ذَٰلِكَ كَتَبْنَا عَلَىٰ بَنِي إِسْرَائِيلَ أَنَّهُ مَن قَتَلَ نَفْسًا بِغَيْرِ نَفْسٍ أَوْ فَسَادٍ فِي الْأَرْضِ فَكَأَنَّمَا قَتَلَ النَّاسَ جَمِيعًا وَمَنْ أَحْيَاهَا فَكَأَنَّمَا أَحْيَا النَّاسَ جَمِيعًا ۚ وَلَقَدْ جَاءَتْهُمْ رُسُلُنَا بِالْبَيِّنَاتِ ثُمَّ إِنَّ كَثِيرًا مِنْهُم بَعْدَ ذَٰلِكَ فِي الْأَرْضِ لَمُسْرِفُونَ</w:t>
      </w:r>
    </w:p>
    <w:p>
      <w:pPr>
        <w:pStyle w:val="Heading3"/>
      </w:pPr>
      <w:r>
        <w:rPr>
          <w:rFonts w:ascii="Times New Roman" w:cs="Times New Roman" w:eastAsia="Times New Roman" w:hAnsi="Times New Roman"/>
        </w:rPr>
        <w:t xml:space="preserve">Terjemahan</w:t>
      </w:r>
    </w:p>
    <w:p>
      <w:pPr>
        <w:spacing w:after="120" w:line="300"/>
        <w:jc w:val="both"/>
      </w:pPr>
      <w:r>
        <w:rPr>
          <w:rFonts w:ascii="Times New Roman" w:cs="Times New Roman" w:eastAsia="Times New Roman" w:hAnsi="Times New Roman"/>
          <w:sz w:val="24"/>
          <w:szCs w:val="24"/>
        </w:rPr>
        <w:t xml:space="preserve">"Oleh karena itu, Kami menetapkan (suatu hukum) bagi Bani Israil bahwa siapa yang membunuh seseorang, bukan karena (orang yang dibunuh itu) telah membunuh orang lain, atau karena telah berbuat kerusakan di bumi, maka seakan-akan dia telah membunuh semua manusia. Dan barangsiapa memelihara kehidupan seorang manusia, maka seakan-akan dia telah memelihara kehidupan semua manusia. Sungguh, rasul-rasul Kami telah datang kepada mereka dengan (membawa) keterangan-keterangan yang jelas, tetapi kemudian banyak di antara mereka setelah itu melampaui batas di bumi."</w:t>
      </w:r>
    </w:p>
    <w:p>
      <w:pPr>
        <w:pStyle w:val="Heading3"/>
      </w:pPr>
      <w:r>
        <w:rPr>
          <w:rFonts w:ascii="Times New Roman" w:cs="Times New Roman" w:eastAsia="Times New Roman" w:hAnsi="Times New Roman"/>
        </w:rPr>
        <w:t xml:space="preserve">Isi kandungan</w:t>
      </w:r>
    </w:p>
    <w:p>
      <w:pPr>
        <w:spacing w:after="120" w:line="300"/>
        <w:jc w:val="both"/>
      </w:pPr>
      <w:r>
        <w:rPr>
          <w:rFonts w:ascii="Times New Roman" w:cs="Times New Roman" w:eastAsia="Times New Roman" w:hAnsi="Times New Roman"/>
          <w:sz w:val="24"/>
          <w:szCs w:val="24"/>
        </w:rPr>
        <w:t xml:space="preserve">Ayat ini menyebutkan ketetapan Allah kepada Bani Israil yang juga menjadi pelajaran bagi umat Islam. Membunuh satu orang tanpa hak, yaitu tanpa alasan qisas dan tanpa orang itu membuat kerusakan di bumi, dinilai seperti membunuh seluruh manusia. Sebaliknya, orang yang menjaga dan menyelamatkan satu nyawa dinilai seperti menjaga seluruh manusia. Ayat ditutup dengan penjelasan bahwa para rasul sudah membawa keterangan yang jelas, tetapi banyak orang tetap melampaui batas dengan berbuat kerusakan di bumi.</w:t>
      </w:r>
    </w:p>
    <w:p>
      <w:pPr>
        <w:spacing w:after="120" w:line="300"/>
        <w:jc w:val="both"/>
      </w:pPr>
      <w:r>
        <w:rPr>
          <w:rFonts w:ascii="Times New Roman" w:cs="Times New Roman" w:eastAsia="Times New Roman" w:hAnsi="Times New Roman"/>
          <w:sz w:val="24"/>
          <w:szCs w:val="24"/>
        </w:rPr>
        <w:t xml:space="preserve">Kesimpulannya, nyawa setiap manusia sangat berharga di sisi Allah. Kita wajib menghindari perbuatan yang menghilangkan nyawa orang lain, dan dianjurkan menolong serta menjaga keselamatan sesama, mulai dari tertib berlalu lintas sampai membantu korban bencana.</w:t>
      </w:r>
    </w:p>
    <w:p>
      <w:pPr>
        <w:pStyle w:val="Heading3"/>
      </w:pPr>
      <w:r>
        <w:rPr>
          <w:rFonts w:ascii="Times New Roman" w:cs="Times New Roman" w:eastAsia="Times New Roman" w:hAnsi="Times New Roman"/>
        </w:rPr>
        <w:t xml:space="preserve">Hukum tajwid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Potongan ayat</w:t>
            </w:r>
          </w:p>
        </w:tc>
        <w:tc>
          <w:tcPr>
            <w:tcW w:type="dxa" w:w="22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Hukum tajwid</w:t>
            </w:r>
          </w:p>
        </w:tc>
        <w:tc>
          <w:tcPr>
            <w:tcW w:type="dxa" w:w="4838"/>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Alasan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مِنْ أَجْلِ</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Izhar halqi</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Nun sukun bertemu hamzah, salah satu huruf halqi, sehingga nun dibaca jelas tanpa dengung.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مَن قَتَلَ</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Ikhfa haqiqi</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Nun sukun bertemu qaf, salah satu huruf ikhfa, sehingga dibaca samar dengan dengung.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نَفْسًا بِغَيْرِ</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Iqlab</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Tanwin bertemu ba, sehingga dibaca seperti mim samar dengan dengung.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جَمِيعًا وَمَنْ</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Idgham bighunnah</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Tanwin bertemu waw, sehingga dilebur ke huruf berikutnya dengan dengung.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أَنَّهُ</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Ghunnah (nun tasydid)</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Nun bertasydid dibaca dengan dengung sekitar dua harakat.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النَّاسَ</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Alif lam syamsiyah</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Alif lam bertemu nun, huruf syamsiyah, sehingga lam tidak dibaca dan nun ditasydid.</w:t>
            </w:r>
          </w:p>
        </w:tc>
      </w:tr>
    </w:tbl>
    <w:p>
      <w:pPr>
        <w:pStyle w:val="Heading2"/>
      </w:pPr>
      <w:r>
        <w:rPr>
          <w:rFonts w:ascii="Times New Roman" w:cs="Times New Roman" w:eastAsia="Times New Roman" w:hAnsi="Times New Roman"/>
        </w:rPr>
        <w:t xml:space="preserve">2. QS An-Nisa'/4: 59</w:t>
      </w:r>
    </w:p>
    <w:p>
      <w:pPr>
        <w:pStyle w:val="Heading3"/>
      </w:pPr>
      <w:r>
        <w:rPr>
          <w:rFonts w:ascii="Times New Roman" w:cs="Times New Roman" w:eastAsia="Times New Roman" w:hAnsi="Times New Roman"/>
        </w:rPr>
        <w:t xml:space="preserve">Ayat</w:t>
      </w:r>
    </w:p>
    <w:p>
      <w:pPr>
        <w:bidi/>
        <w:spacing w:after="120" w:before="60" w:line="440"/>
        <w:jc w:val="center"/>
      </w:pPr>
      <w:r>
        <w:rPr>
          <w:rFonts w:ascii="Traditional Arabic" w:cs="Traditional Arabic" w:eastAsia="Traditional Arabic" w:hAnsi="Traditional Arabic"/>
          <w:sz w:val="36"/>
          <w:szCs w:val="36"/>
          <w:rtl/>
        </w:rPr>
        <w:t xml:space="preserve">يَا أَيُّهَا الَّذِينَ آمَنُوا أَطِيعُوا اللَّهَ وَأَطِيعُوا الرَّسُولَ وَأُولِي الْأَمْرِ مِنكُمْ ۖ فَإِن تَنَازَعْتُمْ فِي شَيْءٍ فَرُدُّوهُ إِلَى اللَّهِ وَالرَّسُولِ إِن كُنتُمْ تُؤْمِنُونَ بِاللَّهِ وَالْيَوْمِ الْآخِرِ ۚ ذَٰلِكَ خَيْرٌ وَأَحْسَنُ تَأْوِيلًا</w:t>
      </w:r>
    </w:p>
    <w:p>
      <w:pPr>
        <w:pStyle w:val="Heading3"/>
      </w:pPr>
      <w:r>
        <w:rPr>
          <w:rFonts w:ascii="Times New Roman" w:cs="Times New Roman" w:eastAsia="Times New Roman" w:hAnsi="Times New Roman"/>
        </w:rPr>
        <w:t xml:space="preserve">Terjemahan</w:t>
      </w:r>
    </w:p>
    <w:p>
      <w:pPr>
        <w:spacing w:after="120" w:line="300"/>
        <w:jc w:val="both"/>
      </w:pPr>
      <w:r>
        <w:rPr>
          <w:rFonts w:ascii="Times New Roman" w:cs="Times New Roman" w:eastAsia="Times New Roman" w:hAnsi="Times New Roman"/>
          <w:sz w:val="24"/>
          <w:szCs w:val="24"/>
        </w:rPr>
        <w:t xml:space="preserve">"Wahai orang-orang yang beriman! Taatilah Allah dan taatilah Rasul (Muhammad), dan ulil amri (pemegang kekuasaan) di antara kamu. Kemudian, jika kamu berbeda pendapat tentang sesuatu, maka kembalikanlah kepada Allah (Al-Qur'an) dan Rasul (sunnahnya), jika kamu beriman kepada Allah dan hari kemudian. Yang demikian itu lebih utama (bagimu) dan lebih baik akibatnya."</w:t>
      </w:r>
    </w:p>
    <w:p>
      <w:pPr>
        <w:pStyle w:val="Heading3"/>
      </w:pPr>
      <w:r>
        <w:rPr>
          <w:rFonts w:ascii="Times New Roman" w:cs="Times New Roman" w:eastAsia="Times New Roman" w:hAnsi="Times New Roman"/>
        </w:rPr>
        <w:t xml:space="preserve">Isi kandungan</w:t>
      </w:r>
    </w:p>
    <w:p>
      <w:pPr>
        <w:spacing w:after="120" w:line="300"/>
        <w:jc w:val="both"/>
      </w:pPr>
      <w:r>
        <w:rPr>
          <w:rFonts w:ascii="Times New Roman" w:cs="Times New Roman" w:eastAsia="Times New Roman" w:hAnsi="Times New Roman"/>
          <w:sz w:val="24"/>
          <w:szCs w:val="24"/>
        </w:rPr>
        <w:t xml:space="preserve">Allah memerintahkan orang beriman untuk taat kepada tiga pihak: Allah, Rasul, dan ulil amri. Perintah taat diucapkan tersendiri untuk Allah dan Rasul, sedangkan ulil amri disebut menyusul, sehingga ketaatan kepada pemimpin berada di bawah ketaatan kepada Allah dan Rasul.</w:t>
      </w:r>
    </w:p>
    <w:p>
      <w:pPr>
        <w:spacing w:after="120" w:line="300"/>
        <w:jc w:val="both"/>
      </w:pPr>
      <w:r>
        <w:rPr>
          <w:rFonts w:ascii="Times New Roman" w:cs="Times New Roman" w:eastAsia="Times New Roman" w:hAnsi="Times New Roman"/>
          <w:sz w:val="24"/>
          <w:szCs w:val="24"/>
        </w:rPr>
        <w:t xml:space="preserve">Ayat ini juga mengatur cara menyelesaikan perbedaan pendapat. Jika kita berselisih tentang suatu urusan, jawabannya dicari dalam Al-Qur'an dan sunnah Rasulullah. Cara ini disebut lebih utama dan menghasilkan akibat yang lebih baik. Kesimpulannya, umat Islam harus patuh kepada pemimpin yang sah dan tetap menjadikan Al-Qur'an dan sunnah sebagai rujukan tertinggi.</w:t>
      </w:r>
    </w:p>
    <w:p>
      <w:pPr>
        <w:pStyle w:val="Heading3"/>
      </w:pPr>
      <w:r>
        <w:rPr>
          <w:rFonts w:ascii="Times New Roman" w:cs="Times New Roman" w:eastAsia="Times New Roman" w:hAnsi="Times New Roman"/>
        </w:rPr>
        <w:t xml:space="preserve">Hukum tajwid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Potongan ayat</w:t>
            </w:r>
          </w:p>
        </w:tc>
        <w:tc>
          <w:tcPr>
            <w:tcW w:type="dxa" w:w="22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Hukum tajwid</w:t>
            </w:r>
          </w:p>
        </w:tc>
        <w:tc>
          <w:tcPr>
            <w:tcW w:type="dxa" w:w="4838"/>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Alasan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مِنكُمْ</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Ikhfa haqiqi</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Nun sukun bertemu kaf, sehingga dibaca samar dengan dengung.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فَإِن تَنَازَعْتُمْ</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Ikhfa haqiqi</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Nun sukun bertemu ta, salah satu huruf ikhfa.</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خَيْرٌ وَأَحْسَنُ</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Idgham bighunnah</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Tanwin bertemu waw, sehingga dilebur dengan dengung.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الْأَمْرِ</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Alif lam qamariyah</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Alif lam bertemu hamzah, huruf qamariyah, sehingga lam dibaca jelas.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bidi/>
              <w:spacing w:after="60" w:line="400"/>
              <w:jc w:val="center"/>
            </w:pPr>
            <w:r>
              <w:rPr>
                <w:rFonts w:ascii="Traditional Arabic" w:cs="Traditional Arabic" w:eastAsia="Traditional Arabic" w:hAnsi="Traditional Arabic"/>
                <w:sz w:val="32"/>
                <w:szCs w:val="32"/>
                <w:rtl/>
              </w:rPr>
              <w:t xml:space="preserve">الرَّسُولَ</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Alif lam syamsiyah</w:t>
            </w:r>
          </w:p>
        </w:tc>
        <w:tc>
          <w:tcPr>
            <w:tcW w:type="dxa" w:w="48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Alif lam bertemu ra, huruf syamsiyah, sehingga lam tidak dibaca dan ra ditasydid.</w:t>
            </w:r>
          </w:p>
        </w:tc>
      </w:tr>
    </w:tbl>
    <w:p>
      <w:pPr>
        <w:pStyle w:val="Heading2"/>
      </w:pPr>
      <w:r>
        <w:rPr>
          <w:rFonts w:ascii="Times New Roman" w:cs="Times New Roman" w:eastAsia="Times New Roman" w:hAnsi="Times New Roman"/>
        </w:rPr>
        <w:t xml:space="preserve">3. Ulil amri dan batas ketaatan berdasarkan QS An-Nisa'/4: 59</w:t>
      </w:r>
    </w:p>
    <w:p>
      <w:pPr>
        <w:pStyle w:val="Heading3"/>
      </w:pPr>
      <w:r>
        <w:rPr>
          <w:rFonts w:ascii="Times New Roman" w:cs="Times New Roman" w:eastAsia="Times New Roman" w:hAnsi="Times New Roman"/>
        </w:rPr>
        <w:t xml:space="preserve">Pengertian ulil amri</w:t>
      </w:r>
    </w:p>
    <w:p>
      <w:pPr>
        <w:spacing w:after="120" w:line="300"/>
        <w:jc w:val="both"/>
      </w:pPr>
      <w:r>
        <w:rPr>
          <w:rFonts w:ascii="Times New Roman" w:cs="Times New Roman" w:eastAsia="Times New Roman" w:hAnsi="Times New Roman"/>
          <w:sz w:val="24"/>
          <w:szCs w:val="24"/>
        </w:rPr>
        <w:t xml:space="preserve">Ulil amri berasal dari bahasa Arab dan berarti orang yang memegang urusan. Para ulama tafsir memahaminya sebagai pemimpin yang mengurus kepentingan masyarakat, yaitu pemerintah (umara) dan ulama yang menjadi rujukan dalam urusan agama.</w:t>
      </w:r>
    </w:p>
    <w:p>
      <w:pPr>
        <w:pStyle w:val="Heading3"/>
      </w:pPr>
      <w:r>
        <w:rPr>
          <w:rFonts w:ascii="Times New Roman" w:cs="Times New Roman" w:eastAsia="Times New Roman" w:hAnsi="Times New Roman"/>
        </w:rPr>
        <w:t xml:space="preserve">Contoh ulil amri di Indonesia</w:t>
      </w:r>
    </w:p>
    <w:p>
      <w:pPr>
        <w:pStyle w:val="ListParagraph"/>
        <w:numPr>
          <w:ilvl w:val="0"/>
          <w:numId w:val="2"/>
        </w:numPr>
        <w:spacing w:after="80" w:line="300"/>
      </w:pPr>
      <w:r>
        <w:rPr>
          <w:rFonts w:ascii="Times New Roman" w:cs="Times New Roman" w:eastAsia="Times New Roman" w:hAnsi="Times New Roman"/>
          <w:sz w:val="24"/>
          <w:szCs w:val="24"/>
        </w:rPr>
        <w:t xml:space="preserve">Presiden, wakil presiden, dan para menteri yang menjalankan pemerintahan pusat.</w:t>
      </w:r>
    </w:p>
    <w:p>
      <w:pPr>
        <w:pStyle w:val="ListParagraph"/>
        <w:numPr>
          <w:ilvl w:val="0"/>
          <w:numId w:val="2"/>
        </w:numPr>
        <w:spacing w:after="80" w:line="300"/>
      </w:pPr>
      <w:r>
        <w:rPr>
          <w:rFonts w:ascii="Times New Roman" w:cs="Times New Roman" w:eastAsia="Times New Roman" w:hAnsi="Times New Roman"/>
          <w:sz w:val="24"/>
          <w:szCs w:val="24"/>
        </w:rPr>
        <w:t xml:space="preserve">Gubernur, bupati, dan wali kota yang memimpin pemerintahan daerah.</w:t>
      </w:r>
    </w:p>
    <w:p>
      <w:pPr>
        <w:pStyle w:val="ListParagraph"/>
        <w:numPr>
          <w:ilvl w:val="0"/>
          <w:numId w:val="2"/>
        </w:numPr>
        <w:spacing w:after="80" w:line="300"/>
      </w:pPr>
      <w:r>
        <w:rPr>
          <w:rFonts w:ascii="Times New Roman" w:cs="Times New Roman" w:eastAsia="Times New Roman" w:hAnsi="Times New Roman"/>
          <w:sz w:val="24"/>
          <w:szCs w:val="24"/>
        </w:rPr>
        <w:t xml:space="preserve">DPR dan DPRD yang membuat undang-undang dan peraturan daerah.</w:t>
      </w:r>
    </w:p>
    <w:p>
      <w:pPr>
        <w:pStyle w:val="ListParagraph"/>
        <w:numPr>
          <w:ilvl w:val="0"/>
          <w:numId w:val="2"/>
        </w:numPr>
        <w:spacing w:after="80" w:line="300"/>
      </w:pPr>
      <w:r>
        <w:rPr>
          <w:rFonts w:ascii="Times New Roman" w:cs="Times New Roman" w:eastAsia="Times New Roman" w:hAnsi="Times New Roman"/>
          <w:sz w:val="24"/>
          <w:szCs w:val="24"/>
        </w:rPr>
        <w:t xml:space="preserve">Polisi dan aparat penegak hukum yang menjaga ketertiban, misalnya polisi lalu lintas yang mengatur jalan raya.</w:t>
      </w:r>
    </w:p>
    <w:p>
      <w:pPr>
        <w:pStyle w:val="ListParagraph"/>
        <w:numPr>
          <w:ilvl w:val="0"/>
          <w:numId w:val="2"/>
        </w:numPr>
        <w:spacing w:after="80" w:line="300"/>
      </w:pPr>
      <w:r>
        <w:rPr>
          <w:rFonts w:ascii="Times New Roman" w:cs="Times New Roman" w:eastAsia="Times New Roman" w:hAnsi="Times New Roman"/>
          <w:sz w:val="24"/>
          <w:szCs w:val="24"/>
        </w:rPr>
        <w:t xml:space="preserve">Ulama dan lembaga keagamaan seperti MUI yang mengeluarkan fatwa bagi umat Islam.</w:t>
      </w:r>
    </w:p>
    <w:p>
      <w:pPr>
        <w:pStyle w:val="Heading3"/>
      </w:pPr>
      <w:r>
        <w:rPr>
          <w:rFonts w:ascii="Times New Roman" w:cs="Times New Roman" w:eastAsia="Times New Roman" w:hAnsi="Times New Roman"/>
        </w:rPr>
        <w:t xml:space="preserve">Batas ketaatan kepada ulil amri</w:t>
      </w:r>
    </w:p>
    <w:p>
      <w:pPr>
        <w:spacing w:after="120" w:line="300"/>
        <w:jc w:val="both"/>
      </w:pPr>
      <w:r>
        <w:rPr>
          <w:rFonts w:ascii="Times New Roman" w:cs="Times New Roman" w:eastAsia="Times New Roman" w:hAnsi="Times New Roman"/>
          <w:sz w:val="24"/>
          <w:szCs w:val="24"/>
        </w:rPr>
        <w:t xml:space="preserve">Ketaatan kepada ulil amri berlaku selama perintahnya baik (ma'ruf) dan tidak bertentangan dengan ajaran Allah dan Rasul. Rasulullah saw. bersabda:</w:t>
      </w:r>
    </w:p>
    <w:p>
      <w:pPr>
        <w:bidi/>
        <w:spacing w:after="120" w:before="60" w:line="440"/>
        <w:jc w:val="center"/>
      </w:pPr>
      <w:r>
        <w:rPr>
          <w:rFonts w:ascii="Traditional Arabic" w:cs="Traditional Arabic" w:eastAsia="Traditional Arabic" w:hAnsi="Traditional Arabic"/>
          <w:sz w:val="36"/>
          <w:szCs w:val="36"/>
          <w:rtl/>
        </w:rPr>
        <w:t xml:space="preserve">لَا طَاعَةَ فِي مَعْصِيَةٍ، إِنَّمَا الطَّاعَةُ فِي الْمَعْرُوفِ</w:t>
      </w:r>
    </w:p>
    <w:p>
      <w:pPr>
        <w:spacing w:after="120" w:line="300"/>
        <w:jc w:val="both"/>
      </w:pPr>
      <w:r>
        <w:rPr>
          <w:rFonts w:ascii="Times New Roman" w:cs="Times New Roman" w:eastAsia="Times New Roman" w:hAnsi="Times New Roman"/>
          <w:sz w:val="24"/>
          <w:szCs w:val="24"/>
        </w:rPr>
        <w:t xml:space="preserve">"Tidak ada ketaatan dalam perbuatan maksiat. Ketaatan itu hanya berlaku dalam hal yang ma'ruf." (HR. Bukhari dan Muslim)</w:t>
      </w:r>
    </w:p>
    <w:p>
      <w:pPr>
        <w:spacing w:after="120" w:line="300"/>
        <w:jc w:val="both"/>
      </w:pPr>
      <w:r>
        <w:rPr>
          <w:rFonts w:ascii="Times New Roman" w:cs="Times New Roman" w:eastAsia="Times New Roman" w:hAnsi="Times New Roman"/>
          <w:sz w:val="24"/>
          <w:szCs w:val="24"/>
        </w:rPr>
        <w:t xml:space="preserve">Karena itu, aturan yang melindungi masyarakat, seperti aturan lalu lintas, wajib ditaati. Perintah yang mengajak kepada dosa, misalnya korupsi atau menyakiti orang tanpa hak, tidak boleh diikuti. Penolakan terhadap perintah semacam itu disampaikan dengan cara yang baik dan lewat jalur yang sah. Bila terjadi perbedaan pendapat, QS An-Nisa'/4: 59 meminta kita mengembalikannya kepada Al-Qur'an dan sunnah.</w:t>
      </w:r>
    </w:p>
    <w:p>
      <w:pPr>
        <w:pStyle w:val="Heading2"/>
      </w:pPr>
      <w:r>
        <w:rPr>
          <w:rFonts w:ascii="Times New Roman" w:cs="Times New Roman" w:eastAsia="Times New Roman" w:hAnsi="Times New Roman"/>
        </w:rPr>
        <w:t xml:space="preserve">4. Tiga contoh ketaatan yang menjaga keselamatan dan kehidupan manusia</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Tertib lalu lintas. Memakai helm, berhenti saat lampu merah, membawa SIM, dan menaati batas kecepatan adalah aturan pemerintah yang ditegakkan polisi. Kecelakaan sering menyebabkan luka berat dan kematian, jadi orang yang taat menjaga nyawanya sendiri dan nyawa pengguna jalan lain. Sikap ini sesuai dengan pesan QS Al-Ma'idah/5: 32 tentang memelihara kehidupan.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Imunisasi. Pemerintah menyediakan imunisasi dasar untuk mencegah penyakit menular seperti campak dan polio. Anak yang diimunisasi terlindungi dari penyakit berat. Semakin banyak orang yang kebal, semakin kecil kemungkinan penyakit menular ke bayi atau orang sakit yang tidak bisa divaksin. Dengan begitu kita ikut memelihara kehidupan banyak orang.</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Arahan evakuasi bencana. Saat banjir, erupsi gunung berapi, atau peringatan tsunami, petugas seperti BPBD meminta warga pindah ke tempat aman. Warga yang mengikuti arahan itu lebih kecil kemungkinannya menjadi korban jiwa, dan petugas tidak perlu mempertaruhkan diri untuk menjemput warga yang bertahan. Ketaatan ini melaksanakan perintah menjaga nyawa dalam QS Al-Ma'idah/5: 32.</w:t>
      </w:r>
    </w:p>
    <w:p>
      <w:pPr>
        <w:pageBreakBefore/>
        <w:spacing w:after="0"/>
      </w:pPr>
    </w:p>
    <w:p>
      <w:pPr>
        <w:pStyle w:val="Heading1"/>
      </w:pPr>
      <w:r>
        <w:rPr>
          <w:rFonts w:ascii="Times New Roman" w:cs="Times New Roman" w:eastAsia="Times New Roman" w:hAnsi="Times New Roman"/>
        </w:rPr>
        <w:t xml:space="preserve">Portofolio 2 (proyek individu / kelompok)</w:t>
      </w:r>
    </w:p>
    <w:p>
      <w:pPr>
        <w:spacing w:after="120" w:line="300"/>
        <w:jc w:val="left"/>
      </w:pPr>
      <w:r>
        <w:rPr>
          <w:rFonts w:ascii="Times New Roman" w:cs="Times New Roman" w:eastAsia="Times New Roman" w:hAnsi="Times New Roman"/>
          <w:sz w:val="24"/>
          <w:szCs w:val="24"/>
        </w:rPr>
        <w:t xml:space="preserve">Kajian kasus dan aksi nyata: memelihara kehidupan dan taat kepada ulil amri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Isu / kasus yang dipilih</w:t>
            </w:r>
          </w:p>
        </w:tc>
        <w:tc>
          <w:tcPr>
            <w:tcW w:type="dxa" w:w="69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Kecelakaan lalu lintas yang melibatkan pelajar pengendara sepeda motor di sekitar sekolah. Pelajar sering ditemukan berkendara tanpa helm, tanpa SIM, atau membonceng lebih dari satu orang, sehingga risiko cedera berat dan kematian meningkat.</w:t>
            </w:r>
          </w:p>
        </w:tc>
      </w:tr>
      <w:tr>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Anggota kelompok (jika berkelompok)</w:t>
            </w:r>
          </w:p>
        </w:tc>
        <w:tc>
          <w:tcPr>
            <w:tcW w:type="dxa" w:w="69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Dikerjakan secara individu. Nama: ..............................................</w:t>
            </w:r>
          </w:p>
        </w:tc>
      </w:tr>
      <w:tr>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Sumber informasi (berita, wawancara, observasi)</w:t>
            </w:r>
          </w:p>
        </w:tc>
        <w:tc>
          <w:tcPr>
            <w:tcW w:type="dxa" w:w="69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Observasi langsung di jalan depan sekolah pada jam berangkat dan pulang.</w:t>
            </w:r>
          </w:p>
          <w:p>
            <w:pPr>
              <w:spacing w:after="60" w:line="280"/>
            </w:pPr>
            <w:r>
              <w:rPr>
                <w:rFonts w:ascii="Times New Roman" w:cs="Times New Roman" w:eastAsia="Times New Roman" w:hAnsi="Times New Roman"/>
                <w:sz w:val="22"/>
                <w:szCs w:val="22"/>
              </w:rPr>
              <w:t xml:space="preserve">Wawancara singkat dengan guru atau satpam sekolah tentang kejadian yang pernah terjadi.</w:t>
            </w:r>
          </w:p>
          <w:p>
            <w:pPr>
              <w:spacing w:after="60" w:line="280"/>
            </w:pPr>
            <w:r>
              <w:rPr>
                <w:rFonts w:ascii="Times New Roman" w:cs="Times New Roman" w:eastAsia="Times New Roman" w:hAnsi="Times New Roman"/>
                <w:sz w:val="22"/>
                <w:szCs w:val="22"/>
              </w:rPr>
              <w:t xml:space="preserve">Berita daring tentang kecelakaan pelajar (tulis judul, nama media, dan tanggal).</w:t>
            </w:r>
          </w:p>
          <w:p>
            <w:pPr>
              <w:spacing w:after="60" w:line="280"/>
            </w:pPr>
            <w:r>
              <w:rPr>
                <w:rFonts w:ascii="Times New Roman" w:cs="Times New Roman" w:eastAsia="Times New Roman" w:hAnsi="Times New Roman"/>
                <w:sz w:val="22"/>
                <w:szCs w:val="22"/>
              </w:rPr>
              <w:t xml:space="preserve">Teks UU No. 22 Tahun 2009 tentang Lalu Lintas dan Angkutan Jalan.</w:t>
            </w:r>
          </w:p>
        </w:tc>
      </w:tr>
      <w:tr>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Dalil pendukung (ayat / hadis)</w:t>
            </w:r>
          </w:p>
        </w:tc>
        <w:tc>
          <w:tcPr>
            <w:tcW w:type="dxa" w:w="69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QS Al-Ma'idah/5: 32 (potongan):</w:t>
            </w:r>
          </w:p>
          <w:p>
            <w:pPr>
              <w:bidi/>
              <w:spacing w:after="60" w:line="400"/>
              <w:jc w:val="center"/>
            </w:pPr>
            <w:r>
              <w:rPr>
                <w:rFonts w:ascii="Traditional Arabic" w:cs="Traditional Arabic" w:eastAsia="Traditional Arabic" w:hAnsi="Traditional Arabic"/>
                <w:sz w:val="32"/>
                <w:szCs w:val="32"/>
                <w:rtl/>
              </w:rPr>
              <w:t xml:space="preserve">وَمَنْ أَحْيَاهَا فَكَأَنَّمَا أَحْيَا النَّاسَ جَمِيعًا</w:t>
            </w:r>
          </w:p>
          <w:p>
            <w:pPr>
              <w:spacing w:after="60" w:line="280"/>
            </w:pPr>
            <w:r>
              <w:rPr>
                <w:rFonts w:ascii="Times New Roman" w:cs="Times New Roman" w:eastAsia="Times New Roman" w:hAnsi="Times New Roman"/>
                <w:sz w:val="22"/>
                <w:szCs w:val="22"/>
              </w:rPr>
              <w:t xml:space="preserve">Artinya: barangsiapa memelihara kehidupan seorang manusia, seakan-akan dia telah memelihara kehidupan semua manusia.</w:t>
            </w:r>
          </w:p>
          <w:p>
            <w:pPr>
              <w:spacing w:after="60" w:line="280"/>
            </w:pPr>
            <w:r>
              <w:rPr>
                <w:rFonts w:ascii="Times New Roman" w:cs="Times New Roman" w:eastAsia="Times New Roman" w:hAnsi="Times New Roman"/>
                <w:sz w:val="22"/>
                <w:szCs w:val="22"/>
              </w:rPr>
              <w:t xml:space="preserve">QS Al-Baqarah/2: 195 (potongan):</w:t>
            </w:r>
          </w:p>
          <w:p>
            <w:pPr>
              <w:bidi/>
              <w:spacing w:after="60" w:line="400"/>
              <w:jc w:val="center"/>
            </w:pPr>
            <w:r>
              <w:rPr>
                <w:rFonts w:ascii="Traditional Arabic" w:cs="Traditional Arabic" w:eastAsia="Traditional Arabic" w:hAnsi="Traditional Arabic"/>
                <w:sz w:val="32"/>
                <w:szCs w:val="32"/>
                <w:rtl/>
              </w:rPr>
              <w:t xml:space="preserve">وَلَا تُلْقُوا بِأَيْدِيكُمْ إِلَى التَّهْلُكَةِ</w:t>
            </w:r>
          </w:p>
          <w:p>
            <w:pPr>
              <w:spacing w:after="60" w:line="280"/>
            </w:pPr>
            <w:r>
              <w:rPr>
                <w:rFonts w:ascii="Times New Roman" w:cs="Times New Roman" w:eastAsia="Times New Roman" w:hAnsi="Times New Roman"/>
                <w:sz w:val="22"/>
                <w:szCs w:val="22"/>
              </w:rPr>
              <w:t xml:space="preserve">Artinya: janganlah kamu menjatuhkan dirimu sendiri ke dalam kebinasaan.</w:t>
            </w:r>
          </w:p>
          <w:p>
            <w:pPr>
              <w:spacing w:after="60" w:line="280"/>
            </w:pPr>
            <w:r>
              <w:rPr>
                <w:rFonts w:ascii="Times New Roman" w:cs="Times New Roman" w:eastAsia="Times New Roman" w:hAnsi="Times New Roman"/>
                <w:sz w:val="22"/>
                <w:szCs w:val="22"/>
              </w:rPr>
              <w:t xml:space="preserve">Hadis riwayat Ibnu Majah dan Ahmad:</w:t>
            </w:r>
          </w:p>
          <w:p>
            <w:pPr>
              <w:bidi/>
              <w:spacing w:after="60" w:line="400"/>
              <w:jc w:val="center"/>
            </w:pPr>
            <w:r>
              <w:rPr>
                <w:rFonts w:ascii="Traditional Arabic" w:cs="Traditional Arabic" w:eastAsia="Traditional Arabic" w:hAnsi="Traditional Arabic"/>
                <w:sz w:val="32"/>
                <w:szCs w:val="32"/>
                <w:rtl/>
              </w:rPr>
              <w:t xml:space="preserve">لَا ضَرَرَ وَلَا ضِرَارَ</w:t>
            </w:r>
          </w:p>
          <w:p>
            <w:pPr>
              <w:spacing w:after="60" w:line="280"/>
            </w:pPr>
            <w:r>
              <w:rPr>
                <w:rFonts w:ascii="Times New Roman" w:cs="Times New Roman" w:eastAsia="Times New Roman" w:hAnsi="Times New Roman"/>
                <w:sz w:val="22"/>
                <w:szCs w:val="22"/>
              </w:rPr>
              <w:t xml:space="preserve">Artinya: tidak boleh membahayakan diri sendiri dan tidak boleh membahayakan orang lain.</w:t>
            </w:r>
          </w:p>
          <w:p>
            <w:pPr>
              <w:spacing w:after="60" w:line="280"/>
            </w:pPr>
            <w:r>
              <w:rPr>
                <w:rFonts w:ascii="Times New Roman" w:cs="Times New Roman" w:eastAsia="Times New Roman" w:hAnsi="Times New Roman"/>
                <w:sz w:val="22"/>
                <w:szCs w:val="22"/>
              </w:rPr>
              <w:t xml:space="preserve">QS An-Nisa'/4: 59 dan hadis riwayat Bukhari dan Muslim (lihat jawaban Portofolio 1 nomor 2 dan 3) untuk dasar ketaatan kepada ulil amri.</w:t>
            </w:r>
          </w:p>
        </w:tc>
      </w:tr>
      <w:tr>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Analisis menurut QS Al-Ma'idah/5: 32</w:t>
            </w:r>
          </w:p>
        </w:tc>
        <w:tc>
          <w:tcPr>
            <w:tcW w:type="dxa" w:w="69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Ayat ini menyatakan bahwa satu nyawa sama berharganya dengan seluruh manusia. Setiap pelajar yang celaka di jalan berarti satu nyawa terancam atau hilang, dan dampaknya menimpa keluarga, teman, serta pengguna jalan lain yang ikut terlibat.</w:t>
            </w:r>
          </w:p>
          <w:p>
            <w:pPr>
              <w:spacing w:after="60" w:line="280"/>
            </w:pPr>
            <w:r>
              <w:rPr>
                <w:rFonts w:ascii="Times New Roman" w:cs="Times New Roman" w:eastAsia="Times New Roman" w:hAnsi="Times New Roman"/>
                <w:sz w:val="22"/>
                <w:szCs w:val="22"/>
              </w:rPr>
              <w:t xml:space="preserve">Mengendarai motor tanpa helm, tanpa SIM, atau secara ugal-ugalan berarti mengabaikan perintah memelihara kehidupan. Berkendara dengan aman, menegur teman yang melanggar, dan menolong korban kecelakaan termasuk upaya menghidupkan manusia seperti yang dimaksud ayat. Menolong korban dimulai dari menghubungi ambulans atau polisi dan tidak membiarkan korban tergeletak.</w:t>
            </w:r>
          </w:p>
        </w:tc>
      </w:tr>
      <w:tr>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60"/>
            </w:pPr>
            <w:r>
              <w:rPr>
                <w:rFonts w:ascii="Times New Roman" w:cs="Times New Roman" w:eastAsia="Times New Roman" w:hAnsi="Times New Roman"/>
                <w:b/>
                <w:bCs/>
                <w:sz w:val="22"/>
                <w:szCs w:val="22"/>
              </w:rPr>
              <w:t xml:space="preserve">Kaitan dengan ketaatan kepada ulil amri (aturan atau hukum yang relevan)</w:t>
            </w:r>
          </w:p>
        </w:tc>
        <w:tc>
          <w:tcPr>
            <w:tcW w:type="dxa" w:w="69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80"/>
            </w:pPr>
            <w:r>
              <w:rPr>
                <w:rFonts w:ascii="Times New Roman" w:cs="Times New Roman" w:eastAsia="Times New Roman" w:hAnsi="Times New Roman"/>
                <w:sz w:val="22"/>
                <w:szCs w:val="22"/>
              </w:rPr>
              <w:t xml:space="preserve">Pemerintah dan DPR sebagai ulil amri sudah membuat UU No. 22 Tahun 2009 tentang Lalu Lintas dan Angkutan Jalan, yang ditegakkan oleh polisi. Ketentuan yang relevan:</w:t>
            </w:r>
          </w:p>
          <w:p>
            <w:pPr>
              <w:spacing w:after="60" w:line="280"/>
            </w:pPr>
            <w:r>
              <w:rPr>
                <w:rFonts w:ascii="Times New Roman" w:cs="Times New Roman" w:eastAsia="Times New Roman" w:hAnsi="Times New Roman"/>
                <w:sz w:val="22"/>
                <w:szCs w:val="22"/>
              </w:rPr>
              <w:t xml:space="preserve">Pasal 106 ayat (8): pengendara dan penumpang sepeda motor wajib memakai helm standar nasional Indonesia. Pasal 291 mengatur sanksi kurungan paling lama 1 bulan atau denda paling banyak Rp250.000.</w:t>
            </w:r>
          </w:p>
          <w:p>
            <w:pPr>
              <w:spacing w:after="60" w:line="280"/>
            </w:pPr>
            <w:r>
              <w:rPr>
                <w:rFonts w:ascii="Times New Roman" w:cs="Times New Roman" w:eastAsia="Times New Roman" w:hAnsi="Times New Roman"/>
                <w:sz w:val="22"/>
                <w:szCs w:val="22"/>
              </w:rPr>
              <w:t xml:space="preserve">Pasal 77 ayat (1): pengemudi wajib memiliki SIM. Pasal 81 ayat (2) menetapkan usia paling rendah 17 tahun untuk SIM C. Pasal 281 mengatur sanksi kurungan paling lama 4 bulan atau denda paling banyak Rp1.000.000 bagi yang tidak memiliki SIM.</w:t>
            </w:r>
          </w:p>
          <w:p>
            <w:pPr>
              <w:spacing w:after="60" w:line="280"/>
            </w:pPr>
            <w:r>
              <w:rPr>
                <w:rFonts w:ascii="Times New Roman" w:cs="Times New Roman" w:eastAsia="Times New Roman" w:hAnsi="Times New Roman"/>
                <w:sz w:val="22"/>
                <w:szCs w:val="22"/>
              </w:rPr>
              <w:t xml:space="preserve">Aturan ini baik dan bertujuan melindungi nyawa, sehingga termasuk perintah ma'ruf yang wajib ditaati menurut QS An-Nisa'/4: 59 dan hadis riwayat Bukhari dan Muslim.</w:t>
            </w:r>
          </w:p>
        </w:tc>
      </w:tr>
    </w:tbl>
    <w:p>
      <w:pPr>
        <w:pStyle w:val="Heading2"/>
      </w:pPr>
      <w:r>
        <w:rPr>
          <w:rFonts w:ascii="Times New Roman" w:cs="Times New Roman" w:eastAsia="Times New Roman" w:hAnsi="Times New Roman"/>
        </w:rPr>
        <w:t xml:space="preserve">Rencana aksi nyata</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Memakai helm SNI dan membawa SIM setiap berkendara. Pelajar yang belum berusia 17 tahun memilih diantar, naik angkutan umum, atau bersepeda.</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Membuat poster keselamatan berkendara berisi QS Al-Ma'idah/5: 32 serta aturan helm dan SIM, lalu memasangnya di mading sekolah.</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Mengajak teman sekelas menandatangani komitmen tertib berlalu lintas.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Mengusulkan kepada guru atau OSIS agar sekolah mengundang polisi lalu lintas untuk penyuluhan dan mengatur arus kendaraan di gerbang saat jam pulang.</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Jika melihat kecelakaan, menghubungi ambulans atau polisi dan membantu sesuai kemampuan tanpa memindahkan korban secara sembarangan.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Portofolio</dc:creator>
  <cp:lastModifiedBy>Un-named</cp:lastModifiedBy>
  <cp:revision>1</cp:revision>
  <dcterms:created xsi:type="dcterms:W3CDTF">2026-09-28T22:23:37.714Z</dcterms:created>
  <dcterms:modified xsi:type="dcterms:W3CDTF">2026-09-28T22:23:37.723Z</dcterms:modified>
</cp:coreProperties>
</file>

<file path=docProps/custom.xml><?xml version="1.0" encoding="utf-8"?>
<Properties xmlns="http://schemas.openxmlformats.org/officeDocument/2006/custom-properties" xmlns:vt="http://schemas.openxmlformats.org/officeDocument/2006/docPropsVTypes"/>
</file>