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drawing>
          <wp:inline xmlns:a="http://schemas.openxmlformats.org/drawingml/2006/main" xmlns:pic="http://schemas.openxmlformats.org/drawingml/2006/picture">
            <wp:extent cx="1188720" cy="1188720"/>
            <wp:docPr id="1" name="Picture 1"/>
            <wp:cNvGraphicFramePr>
              <a:graphicFrameLocks noChangeAspect="1"/>
            </wp:cNvGraphicFramePr>
            <a:graphic>
              <a:graphicData uri="http://schemas.openxmlformats.org/drawingml/2006/picture">
                <pic:pic>
                  <pic:nvPicPr>
                    <pic:cNvPr id="0" name="rocas-logo.png"/>
                    <pic:cNvPicPr/>
                  </pic:nvPicPr>
                  <pic:blipFill>
                    <a:blip r:embed="rId11"/>
                    <a:stretch>
                      <a:fillRect/>
                    </a:stretch>
                  </pic:blipFill>
                  <pic:spPr>
                    <a:xfrm>
                      <a:off x="0" y="0"/>
                      <a:ext cx="1188720" cy="1188720"/>
                    </a:xfrm>
                    <a:prstGeom prst="rect"/>
                  </pic:spPr>
                </pic:pic>
              </a:graphicData>
            </a:graphic>
          </wp:inline>
        </w:drawing>
      </w:r>
    </w:p>
    <w:p>
      <w:pPr>
        <w:pStyle w:val="Title"/>
        <w:keepNext/>
        <w:spacing w:after="200"/>
        <w:jc w:val="center"/>
      </w:pPr>
      <w:r>
        <w:rPr>
          <w:rFonts w:ascii="Arial" w:hAnsi="Arial" w:eastAsia="Arial"/>
          <w:b/>
          <w:color w:val="000000"/>
          <w:sz w:val="54"/>
        </w:rPr>
        <w:t>Melhoria da análise do Instagram no ATOL Studio</w:t>
      </w:r>
    </w:p>
    <w:p>
      <w:pPr>
        <w:keepNext/>
        <w:spacing w:after="360"/>
        <w:jc w:val="center"/>
      </w:pPr>
      <w:r>
        <w:rPr>
          <w:rFonts w:ascii="Arial" w:hAnsi="Arial" w:eastAsia="Arial"/>
          <w:color w:val="5B666B"/>
          <w:sz w:val="26"/>
        </w:rPr>
        <w:t>Diagnóstico do sistema e proposta para relatórios de visualizações alcance e insights</w:t>
      </w:r>
    </w:p>
    <w:p>
      <w:pPr>
        <w:spacing w:after="360"/>
        <w:jc w:val="center"/>
      </w:pPr>
      <w:r>
        <w:rPr>
          <w:rFonts w:ascii="Arial" w:hAnsi="Arial" w:eastAsia="Arial"/>
          <w:b/>
          <w:color w:val="0D6F6A"/>
          <w:sz w:val="20"/>
        </w:rPr>
        <w:t>Documento de produto e engenharia</w:t>
        <w:br/>
        <w:t>Estado observado em 15 de setembro de 2026</w:t>
      </w:r>
    </w:p>
    <w:p>
      <w:pPr>
        <w:widowControl/>
        <w:spacing w:after="140" w:line="264" w:lineRule="auto"/>
      </w:pPr>
      <w:r>
        <w:rPr>
          <w:rFonts w:ascii="Arial" w:hAnsi="Arial" w:eastAsia="Arial"/>
          <w:b/>
          <w:color w:val="061820"/>
          <w:sz w:val="21"/>
        </w:rPr>
        <w:t xml:space="preserve">Conclusão principal  </w:t>
      </w:r>
      <w:r>
        <w:rPr>
          <w:rFonts w:ascii="Arial" w:hAnsi="Arial" w:eastAsia="Arial"/>
          <w:color w:val="061820"/>
          <w:sz w:val="21"/>
        </w:rPr>
        <w:t>O sistema já possui uma base segura para importar dados em modo somente leitura, manter histórico, registrar contexto e submeter hipóteses à revisão humana. A melhoria prioritária é corrigir o significado estatístico do relatório antes de ampliar a IA. Hoje, o mesmo conteúdo pode aparecer em vários instantâneos e ser somado mais de uma vez, enquanto visualizações e alcance ainda não são coletados pelo endpoint de insights.</w:t>
      </w:r>
    </w:p>
    <w:p>
      <w:pPr>
        <w:widowControl/>
        <w:spacing w:after="140" w:line="264" w:lineRule="auto"/>
      </w:pPr>
      <w:r>
        <w:rPr>
          <w:rFonts w:ascii="Arial" w:hAnsi="Arial" w:eastAsia="Arial"/>
          <w:color w:val="061820"/>
          <w:sz w:val="21"/>
        </w:rPr>
        <w:t>A proposta deste documento organiza a evolução em três camadas: integridade e cobertura dos dados, relatório semanal orientado a decisões e insights com evidências reproduzíveis. Essa sequência preserva os controles existentes e evita que uma apresentação mais sofisticada amplifique números incorretos.</w:t>
      </w:r>
    </w:p>
    <w:p>
      <w:pPr>
        <w:spacing w:before="440"/>
        <w:jc w:val="center"/>
      </w:pPr>
      <w:r>
        <w:rPr>
          <w:rFonts w:ascii="Arial" w:hAnsi="Arial" w:eastAsia="Arial"/>
          <w:i/>
          <w:color w:val="5B666B"/>
          <w:sz w:val="19"/>
        </w:rPr>
        <w:t>Uso recomendado  equipe de produto marketing e engenharia</w:t>
      </w:r>
    </w:p>
    <w:p>
      <w:r>
        <w:br w:type="page"/>
      </w:r>
    </w:p>
    <w:p>
      <w:pPr>
        <w:pStyle w:val="Heading1"/>
        <w:keepNext/>
        <w:keepLines/>
        <w:spacing w:before="240" w:after="120"/>
      </w:pPr>
      <w:r>
        <w:rPr>
          <w:rFonts w:ascii="Arial" w:hAnsi="Arial" w:eastAsia="Arial"/>
          <w:b/>
          <w:color w:val="000000"/>
          <w:sz w:val="34"/>
        </w:rPr>
        <w:t>Resumo executivo</w:t>
      </w:r>
    </w:p>
    <w:p>
      <w:pPr>
        <w:widowControl/>
        <w:spacing w:after="140" w:line="264" w:lineRule="auto"/>
      </w:pPr>
      <w:r>
        <w:rPr>
          <w:rFonts w:ascii="Arial" w:hAnsi="Arial" w:eastAsia="Arial"/>
          <w:color w:val="061820"/>
          <w:sz w:val="21"/>
        </w:rPr>
        <w:t>A entrega de valor não virá apenas de adicionar cartões de visualizações e alcance. O relatório precisa responder se a distribuição cresceu, se o conteúdo converteu atenção em interação, quais formatos superaram uma referência comparável e qual teste editorial deve ser executado na semana seguinte.</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1267"/>
            <w:shd w:fill="0D6F6A"/>
            <w:tcMar>
              <w:top w:w="105" w:type="dxa"/>
              <w:start w:w="110" w:type="dxa"/>
              <w:bottom w:w="10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center"/>
            </w:pPr>
            <w:r>
              <w:rPr>
                <w:rFonts w:ascii="Arial" w:hAnsi="Arial" w:eastAsia="Arial"/>
                <w:b/>
                <w:color w:val="FFFFFF"/>
                <w:sz w:val="18"/>
              </w:rPr>
              <w:t>Prioridade</w:t>
            </w:r>
          </w:p>
        </w:tc>
        <w:tc>
          <w:tcPr>
            <w:tcW w:type="dxa" w:w="2448"/>
            <w:shd w:fill="0D6F6A"/>
            <w:tcMar>
              <w:top w:w="105" w:type="dxa"/>
              <w:start w:w="110" w:type="dxa"/>
              <w:bottom w:w="10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Pr>
                <w:rFonts w:ascii="Arial" w:hAnsi="Arial" w:eastAsia="Arial"/>
                <w:b/>
                <w:color w:val="FFFFFF"/>
                <w:sz w:val="18"/>
              </w:rPr>
              <w:t>Achado</w:t>
            </w:r>
          </w:p>
        </w:tc>
        <w:tc>
          <w:tcPr>
            <w:tcW w:type="dxa" w:w="2880"/>
            <w:shd w:fill="0D6F6A"/>
            <w:tcMar>
              <w:top w:w="105" w:type="dxa"/>
              <w:start w:w="110" w:type="dxa"/>
              <w:bottom w:w="10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Pr>
                <w:rFonts w:ascii="Arial" w:hAnsi="Arial" w:eastAsia="Arial"/>
                <w:b/>
                <w:color w:val="FFFFFF"/>
                <w:sz w:val="18"/>
              </w:rPr>
              <w:t>Efeito no relatório</w:t>
            </w:r>
          </w:p>
        </w:tc>
        <w:tc>
          <w:tcPr>
            <w:tcW w:type="dxa" w:w="3038"/>
            <w:shd w:fill="0D6F6A"/>
            <w:tcMar>
              <w:top w:w="105" w:type="dxa"/>
              <w:start w:w="110" w:type="dxa"/>
              <w:bottom w:w="10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Pr>
                <w:rFonts w:ascii="Arial" w:hAnsi="Arial" w:eastAsia="Arial"/>
                <w:b/>
                <w:color w:val="FFFFFF"/>
                <w:sz w:val="18"/>
              </w:rPr>
              <w:t>Decisão recomendada</w:t>
            </w:r>
          </w:p>
        </w:tc>
      </w:tr>
      <w:tr>
        <w:trPr>
          <w:cantSplit/>
        </w:trPr>
        <w:tc>
          <w:tcPr>
            <w:tcW w:type="dxa" w:w="1267"/>
            <w:shd w:fill="FBEDE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center"/>
            </w:pPr>
            <w:r>
              <w:rPr>
                <w:rFonts w:ascii="Arial" w:hAnsi="Arial" w:eastAsia="Arial"/>
                <w:b/>
                <w:color w:val="061820"/>
                <w:sz w:val="17"/>
              </w:rPr>
              <w:t>P0</w:t>
            </w:r>
          </w:p>
        </w:tc>
        <w:tc>
          <w:tcPr>
            <w:tcW w:type="dxa" w:w="2448"/>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Instantâneos repetidos podem ser tratados como publicações diferentes</w:t>
            </w:r>
          </w:p>
        </w:tc>
        <w:tc>
          <w:tcPr>
            <w:tcW w:type="dxa" w:w="2880"/>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Totais e ranking podem ficar inflados após várias coletas</w:t>
            </w:r>
          </w:p>
        </w:tc>
        <w:tc>
          <w:tcPr>
            <w:tcW w:type="dxa" w:w="3038"/>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Deduplicar por mídia e calcular o valor vigente ou a variação entre dois limites de tempo</w:t>
            </w:r>
          </w:p>
        </w:tc>
      </w:tr>
      <w:tr>
        <w:trPr>
          <w:cantSplit/>
        </w:trPr>
        <w:tc>
          <w:tcPr>
            <w:tcW w:type="dxa" w:w="1267"/>
            <w:shd w:fill="FBEDE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center"/>
            </w:pPr>
            <w:r>
              <w:rPr>
                <w:rFonts w:ascii="Arial" w:hAnsi="Arial" w:eastAsia="Arial"/>
                <w:b/>
                <w:color w:val="061820"/>
                <w:sz w:val="17"/>
              </w:rPr>
              <w:t>P0</w:t>
            </w:r>
          </w:p>
        </w:tc>
        <w:tc>
          <w:tcPr>
            <w:tcW w:type="dxa" w:w="2448"/>
            <w:shd w:fill="EAF7F6"/>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A janela semanal usa a data de coleta</w:t>
            </w:r>
          </w:p>
        </w:tc>
        <w:tc>
          <w:tcPr>
            <w:tcW w:type="dxa" w:w="2880"/>
            <w:shd w:fill="EAF7F6"/>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Conteúdo antigo entra no relatório só porque foi recapturado</w:t>
            </w:r>
          </w:p>
        </w:tc>
        <w:tc>
          <w:tcPr>
            <w:tcW w:type="dxa" w:w="3038"/>
            <w:shd w:fill="EAF7F6"/>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Separar coorte por data de publicação de janela de observação das métricas</w:t>
            </w:r>
          </w:p>
        </w:tc>
      </w:tr>
      <w:tr>
        <w:trPr>
          <w:cantSplit/>
        </w:trPr>
        <w:tc>
          <w:tcPr>
            <w:tcW w:type="dxa" w:w="1267"/>
            <w:shd w:fill="FBEDE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center"/>
            </w:pPr>
            <w:r>
              <w:rPr>
                <w:rFonts w:ascii="Arial" w:hAnsi="Arial" w:eastAsia="Arial"/>
                <w:b/>
                <w:color w:val="061820"/>
                <w:sz w:val="17"/>
              </w:rPr>
              <w:t>P0</w:t>
            </w:r>
          </w:p>
        </w:tc>
        <w:tc>
          <w:tcPr>
            <w:tcW w:type="dxa" w:w="2448"/>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O importador coleta apenas curtidas e comentários do objeto de mídia</w:t>
            </w:r>
          </w:p>
        </w:tc>
        <w:tc>
          <w:tcPr>
            <w:tcW w:type="dxa" w:w="2880"/>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Não há análise real de visualizações alcance salvamentos compartilhamentos ou tempo de exibição</w:t>
            </w:r>
          </w:p>
        </w:tc>
        <w:tc>
          <w:tcPr>
            <w:tcW w:type="dxa" w:w="3038"/>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Consultar o endpoint de insights com plano de métricas por tipo de mídia</w:t>
            </w:r>
          </w:p>
        </w:tc>
      </w:tr>
      <w:tr>
        <w:trPr>
          <w:cantSplit/>
        </w:trPr>
        <w:tc>
          <w:tcPr>
            <w:tcW w:type="dxa" w:w="1267"/>
            <w:shd w:fill="EEF4F7"/>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center"/>
            </w:pPr>
            <w:r>
              <w:rPr>
                <w:rFonts w:ascii="Arial" w:hAnsi="Arial" w:eastAsia="Arial"/>
                <w:b/>
                <w:color w:val="061820"/>
                <w:sz w:val="17"/>
              </w:rPr>
              <w:t>P1</w:t>
            </w:r>
          </w:p>
        </w:tc>
        <w:tc>
          <w:tcPr>
            <w:tcW w:type="dxa" w:w="2448"/>
            <w:shd w:fill="EAF7F6"/>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O insight de IA recebe os mesmos instantâneos não deduplicados</w:t>
            </w:r>
          </w:p>
        </w:tc>
        <w:tc>
          <w:tcPr>
            <w:tcW w:type="dxa" w:w="2880"/>
            <w:shd w:fill="EAF7F6"/>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A hipótese pode interpretar repetição de coleta como volume de publicações</w:t>
            </w:r>
          </w:p>
        </w:tc>
        <w:tc>
          <w:tcPr>
            <w:tcW w:type="dxa" w:w="3038"/>
            <w:shd w:fill="EAF7F6"/>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Gerar primeiro um pacote analítico determinístico e enviar apenas evidências consolidadas</w:t>
            </w:r>
          </w:p>
        </w:tc>
      </w:tr>
      <w:tr>
        <w:trPr>
          <w:cantSplit/>
        </w:trPr>
        <w:tc>
          <w:tcPr>
            <w:tcW w:type="dxa" w:w="1267"/>
            <w:shd w:fill="EEF4F7"/>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center"/>
            </w:pPr>
            <w:r>
              <w:rPr>
                <w:rFonts w:ascii="Arial" w:hAnsi="Arial" w:eastAsia="Arial"/>
                <w:b/>
                <w:color w:val="061820"/>
                <w:sz w:val="17"/>
              </w:rPr>
              <w:t>P1</w:t>
            </w:r>
          </w:p>
        </w:tc>
        <w:tc>
          <w:tcPr>
            <w:tcW w:type="dxa" w:w="2448"/>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O relatório não compara períodos nem controla maturidade do conteúdo</w:t>
            </w:r>
          </w:p>
        </w:tc>
        <w:tc>
          <w:tcPr>
            <w:tcW w:type="dxa" w:w="2880"/>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Posts antigos tendem a vencer por acumular mais interações</w:t>
            </w:r>
          </w:p>
        </w:tc>
        <w:tc>
          <w:tcPr>
            <w:tcW w:type="dxa" w:w="3038"/>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Usar comparação com período anterior e janelas D1 D3 D7 e D30</w:t>
            </w:r>
          </w:p>
        </w:tc>
      </w:tr>
      <w:tr>
        <w:trPr>
          <w:cantSplit/>
        </w:trPr>
        <w:tc>
          <w:tcPr>
            <w:tcW w:type="dxa" w:w="1267"/>
            <w:shd w:fill="F4F5F5"/>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center"/>
            </w:pPr>
            <w:r>
              <w:rPr>
                <w:rFonts w:ascii="Arial" w:hAnsi="Arial" w:eastAsia="Arial"/>
                <w:b/>
                <w:color w:val="061820"/>
                <w:sz w:val="17"/>
              </w:rPr>
              <w:t>P2</w:t>
            </w:r>
          </w:p>
        </w:tc>
        <w:tc>
          <w:tcPr>
            <w:tcW w:type="dxa" w:w="2448"/>
            <w:shd w:fill="EAF7F6"/>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Exportação depende da impressão da página</w:t>
            </w:r>
          </w:p>
        </w:tc>
        <w:tc>
          <w:tcPr>
            <w:tcW w:type="dxa" w:w="2880"/>
            <w:shd w:fill="EAF7F6"/>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Não há versão auditável do relatório nem rastreio da ação recomendada</w:t>
            </w:r>
          </w:p>
        </w:tc>
        <w:tc>
          <w:tcPr>
            <w:tcW w:type="dxa" w:w="3038"/>
            <w:shd w:fill="EAF7F6"/>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Persistir cada relatório e oferecer exportação com período cobertura e versão dos dados</w:t>
            </w:r>
          </w:p>
        </w:tc>
      </w:tr>
    </w:tbl>
    <w:p>
      <w:pPr>
        <w:spacing w:after="0"/>
      </w:pPr>
    </w:p>
    <w:p>
      <w:pPr>
        <w:pStyle w:val="Heading2"/>
        <w:keepNext/>
        <w:keepLines/>
        <w:spacing w:before="160" w:after="80"/>
      </w:pPr>
      <w:r>
        <w:rPr>
          <w:rFonts w:ascii="Arial" w:hAnsi="Arial" w:eastAsia="Arial"/>
          <w:b/>
          <w:color w:val="000000"/>
          <w:sz w:val="25"/>
        </w:rPr>
        <w:t>Pontos fortes que devem ser preservados</w:t>
      </w:r>
    </w:p>
    <w:p>
      <w:pPr>
        <w:pStyle w:val="ListBullet"/>
        <w:keepNext w:val="0"/>
        <w:keepLines/>
        <w:spacing w:after="70" w:line="259" w:lineRule="auto"/>
        <w:ind w:left="317" w:hanging="202"/>
      </w:pPr>
      <w:r>
        <w:rPr>
          <w:rFonts w:ascii="Arial" w:hAnsi="Arial" w:eastAsia="Arial"/>
          <w:b/>
          <w:color w:val="061820"/>
          <w:sz w:val="20"/>
        </w:rPr>
        <w:t xml:space="preserve">Segurança  </w:t>
      </w:r>
      <w:r>
        <w:rPr>
          <w:rFonts w:ascii="Arial" w:hAnsi="Arial" w:eastAsia="Arial"/>
          <w:color w:val="061820"/>
          <w:sz w:val="20"/>
        </w:rPr>
        <w:t>tokens permanecem no servidor e a integração de marketing é somente leitura.</w:t>
      </w:r>
    </w:p>
    <w:p>
      <w:pPr>
        <w:pStyle w:val="ListBullet"/>
        <w:keepNext w:val="0"/>
        <w:keepLines/>
        <w:spacing w:after="70" w:line="259" w:lineRule="auto"/>
        <w:ind w:left="317" w:hanging="202"/>
      </w:pPr>
      <w:r>
        <w:rPr>
          <w:rFonts w:ascii="Arial" w:hAnsi="Arial" w:eastAsia="Arial"/>
          <w:b/>
          <w:color w:val="061820"/>
          <w:sz w:val="20"/>
        </w:rPr>
        <w:t xml:space="preserve">Governança  </w:t>
      </w:r>
      <w:r>
        <w:rPr>
          <w:rFonts w:ascii="Arial" w:hAnsi="Arial" w:eastAsia="Arial"/>
          <w:color w:val="061820"/>
          <w:sz w:val="20"/>
        </w:rPr>
        <w:t>RLS por workspace, auditoria de mutações e histórico de importações já existem.</w:t>
      </w:r>
    </w:p>
    <w:p>
      <w:pPr>
        <w:pStyle w:val="ListBullet"/>
        <w:keepNext w:val="0"/>
        <w:keepLines/>
        <w:spacing w:after="70" w:line="259" w:lineRule="auto"/>
        <w:ind w:left="317" w:hanging="202"/>
      </w:pPr>
      <w:r>
        <w:rPr>
          <w:rFonts w:ascii="Arial" w:hAnsi="Arial" w:eastAsia="Arial"/>
          <w:b/>
          <w:color w:val="061820"/>
          <w:sz w:val="20"/>
        </w:rPr>
        <w:t xml:space="preserve">Contexto  </w:t>
      </w:r>
      <w:r>
        <w:rPr>
          <w:rFonts w:ascii="Arial" w:hAnsi="Arial" w:eastAsia="Arial"/>
          <w:color w:val="061820"/>
          <w:sz w:val="20"/>
        </w:rPr>
        <w:t>notas de campanha produto mercado e imprensa permitem interpretar movimentos sem afirmar causalidade.</w:t>
      </w:r>
    </w:p>
    <w:p>
      <w:pPr>
        <w:pStyle w:val="ListBullet"/>
        <w:keepNext w:val="0"/>
        <w:keepLines/>
        <w:spacing w:after="70" w:line="259" w:lineRule="auto"/>
        <w:ind w:left="317" w:hanging="202"/>
      </w:pPr>
      <w:r>
        <w:rPr>
          <w:rFonts w:ascii="Arial" w:hAnsi="Arial" w:eastAsia="Arial"/>
          <w:b/>
          <w:color w:val="061820"/>
          <w:sz w:val="20"/>
        </w:rPr>
        <w:t xml:space="preserve">Revisão humana  </w:t>
      </w:r>
      <w:r>
        <w:rPr>
          <w:rFonts w:ascii="Arial" w:hAnsi="Arial" w:eastAsia="Arial"/>
          <w:color w:val="061820"/>
          <w:sz w:val="20"/>
        </w:rPr>
        <w:t>hipóteses ficam pendentes até uma decisão administrativa.</w:t>
      </w:r>
    </w:p>
    <w:p>
      <w:pPr>
        <w:pStyle w:val="ListBullet"/>
        <w:keepNext w:val="0"/>
        <w:keepLines/>
        <w:spacing w:after="70" w:line="259" w:lineRule="auto"/>
        <w:ind w:left="317" w:hanging="202"/>
      </w:pPr>
      <w:r>
        <w:rPr>
          <w:rFonts w:ascii="Arial" w:hAnsi="Arial" w:eastAsia="Arial"/>
          <w:b/>
          <w:color w:val="061820"/>
          <w:sz w:val="20"/>
        </w:rPr>
        <w:t xml:space="preserve">Controle de custo  </w:t>
      </w:r>
      <w:r>
        <w:rPr>
          <w:rFonts w:ascii="Arial" w:hAnsi="Arial" w:eastAsia="Arial"/>
          <w:color w:val="061820"/>
          <w:sz w:val="20"/>
        </w:rPr>
        <w:t>execuções de IA usam orçamento por workspace e ledger de reserva consumo e estorno.</w:t>
      </w:r>
    </w:p>
    <w:p>
      <w:pPr>
        <w:pStyle w:val="Heading2"/>
        <w:keepNext/>
        <w:keepLines/>
        <w:spacing w:before="160" w:after="80"/>
      </w:pPr>
      <w:r>
        <w:rPr>
          <w:rFonts w:ascii="Arial" w:hAnsi="Arial" w:eastAsia="Arial"/>
          <w:b/>
          <w:color w:val="000000"/>
          <w:sz w:val="25"/>
        </w:rPr>
        <w:t>Resultado esperado</w:t>
      </w:r>
    </w:p>
    <w:p>
      <w:pPr>
        <w:widowControl/>
        <w:spacing w:after="140" w:line="264" w:lineRule="auto"/>
      </w:pPr>
      <w:r>
        <w:rPr>
          <w:rFonts w:ascii="Arial" w:hAnsi="Arial" w:eastAsia="Arial"/>
          <w:color w:val="061820"/>
          <w:sz w:val="21"/>
        </w:rPr>
        <w:t>Ao final da evolução, a equipe deve conseguir abrir o relatório e identificar em poucos minutos o que mudou, quão confiável é a leitura, quais conteúdos explicam a mudança, quais perguntas surgiram nos comentários e qual experimento será medido na semana seguinte.</w:t>
      </w:r>
    </w:p>
    <w:p>
      <w:pPr>
        <w:pStyle w:val="Heading1"/>
        <w:keepNext/>
        <w:keepLines/>
        <w:pageBreakBefore/>
        <w:spacing w:before="240" w:after="120"/>
      </w:pPr>
      <w:r>
        <w:rPr>
          <w:rFonts w:ascii="Arial" w:hAnsi="Arial" w:eastAsia="Arial"/>
          <w:b/>
          <w:color w:val="000000"/>
          <w:sz w:val="34"/>
        </w:rPr>
        <w:t>Diagnóstico do sistema atual</w:t>
      </w:r>
    </w:p>
    <w:p>
      <w:pPr>
        <w:widowControl/>
        <w:spacing w:after="140" w:line="264" w:lineRule="auto"/>
      </w:pPr>
      <w:r>
        <w:rPr>
          <w:rFonts w:ascii="Arial" w:hAnsi="Arial" w:eastAsia="Arial"/>
          <w:color w:val="061820"/>
          <w:sz w:val="21"/>
        </w:rPr>
        <w:t>O fluxo atual é coerente com um primeiro produto de leitura, mas ainda não forma uma camada analítica. A coleta lista mídias e grava valores cumulativos de curtidas e comentários em um JSON. As telas somam as linhas retornadas sem consolidar uma única observação por conteúdo.</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670"/>
            <w:shd w:fill="0D6F6A"/>
            <w:tcMar>
              <w:top w:w="105" w:type="dxa"/>
              <w:start w:w="110" w:type="dxa"/>
              <w:bottom w:w="10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center"/>
            </w:pPr>
            <w:r>
              <w:rPr>
                <w:rFonts w:ascii="Arial" w:hAnsi="Arial" w:eastAsia="Arial"/>
                <w:b/>
                <w:color w:val="FFFFFF"/>
                <w:sz w:val="18"/>
              </w:rPr>
              <w:t>Etapa</w:t>
            </w:r>
          </w:p>
        </w:tc>
        <w:tc>
          <w:tcPr>
            <w:tcW w:type="dxa" w:w="3888"/>
            <w:shd w:fill="0D6F6A"/>
            <w:tcMar>
              <w:top w:w="105" w:type="dxa"/>
              <w:start w:w="110" w:type="dxa"/>
              <w:bottom w:w="10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Pr>
                <w:rFonts w:ascii="Arial" w:hAnsi="Arial" w:eastAsia="Arial"/>
                <w:b/>
                <w:color w:val="FFFFFF"/>
                <w:sz w:val="18"/>
              </w:rPr>
              <w:t>Implementação observada</w:t>
            </w:r>
          </w:p>
        </w:tc>
        <w:tc>
          <w:tcPr>
            <w:tcW w:type="dxa" w:w="4104"/>
            <w:shd w:fill="0D6F6A"/>
            <w:tcMar>
              <w:top w:w="105" w:type="dxa"/>
              <w:start w:w="110" w:type="dxa"/>
              <w:bottom w:w="10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Pr>
                <w:rFonts w:ascii="Arial" w:hAnsi="Arial" w:eastAsia="Arial"/>
                <w:b/>
                <w:color w:val="FFFFFF"/>
                <w:sz w:val="18"/>
              </w:rPr>
              <w:t>Limite atual</w:t>
            </w:r>
          </w:p>
        </w:tc>
      </w:tr>
      <w:tr>
        <w:trPr>
          <w:cantSplit/>
        </w:trPr>
        <w:tc>
          <w:tcPr>
            <w:tcW w:type="dxa" w:w="1670"/>
            <w:shd w:fill="EEF4F7"/>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center"/>
            </w:pPr>
            <w:r>
              <w:rPr>
                <w:rFonts w:ascii="Arial" w:hAnsi="Arial" w:eastAsia="Arial"/>
                <w:b/>
                <w:color w:val="061820"/>
                <w:sz w:val="17"/>
              </w:rPr>
              <w:t>Autorização</w:t>
            </w:r>
          </w:p>
        </w:tc>
        <w:tc>
          <w:tcPr>
            <w:tcW w:type="dxa" w:w="3888"/>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Escopos básico comentários e insights no OAuth</w:t>
            </w:r>
          </w:p>
        </w:tc>
        <w:tc>
          <w:tcPr>
            <w:tcW w:type="dxa" w:w="4104"/>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A ativação depende de token reconectado com as permissões realmente concedidas</w:t>
            </w:r>
          </w:p>
        </w:tc>
      </w:tr>
      <w:tr>
        <w:trPr>
          <w:cantSplit/>
        </w:trPr>
        <w:tc>
          <w:tcPr>
            <w:tcW w:type="dxa" w:w="1670"/>
            <w:shd w:fill="EEF4F7"/>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center"/>
            </w:pPr>
            <w:r>
              <w:rPr>
                <w:rFonts w:ascii="Arial" w:hAnsi="Arial" w:eastAsia="Arial"/>
                <w:b/>
                <w:color w:val="061820"/>
                <w:sz w:val="17"/>
              </w:rPr>
              <w:t>Lista de mídias</w:t>
            </w:r>
          </w:p>
        </w:tc>
        <w:tc>
          <w:tcPr>
            <w:tcW w:type="dxa" w:w="3888"/>
            <w:shd w:fill="EAF7F6"/>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Consulta ao endpoint de mídia com paginação de até dez páginas</w:t>
            </w:r>
          </w:p>
        </w:tc>
        <w:tc>
          <w:tcPr>
            <w:tcW w:type="dxa" w:w="4104"/>
            <w:shd w:fill="EAF7F6"/>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A próxima execução reinicia do começo e não retoma o cursor salvo</w:t>
            </w:r>
          </w:p>
        </w:tc>
      </w:tr>
      <w:tr>
        <w:trPr>
          <w:cantSplit/>
        </w:trPr>
        <w:tc>
          <w:tcPr>
            <w:tcW w:type="dxa" w:w="1670"/>
            <w:shd w:fill="EEF4F7"/>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center"/>
            </w:pPr>
            <w:r>
              <w:rPr>
                <w:rFonts w:ascii="Arial" w:hAnsi="Arial" w:eastAsia="Arial"/>
                <w:b/>
                <w:color w:val="061820"/>
                <w:sz w:val="17"/>
              </w:rPr>
              <w:t>Métricas</w:t>
            </w:r>
          </w:p>
        </w:tc>
        <w:tc>
          <w:tcPr>
            <w:tcW w:type="dxa" w:w="3888"/>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Campos like count e comments count gravados com metadados de mídia</w:t>
            </w:r>
          </w:p>
        </w:tc>
        <w:tc>
          <w:tcPr>
            <w:tcW w:type="dxa" w:w="4104"/>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Não chama o endpoint de insights por mídia nem coleta dados da conta</w:t>
            </w:r>
          </w:p>
        </w:tc>
      </w:tr>
      <w:tr>
        <w:trPr>
          <w:cantSplit/>
        </w:trPr>
        <w:tc>
          <w:tcPr>
            <w:tcW w:type="dxa" w:w="1670"/>
            <w:shd w:fill="EEF4F7"/>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center"/>
            </w:pPr>
            <w:r>
              <w:rPr>
                <w:rFonts w:ascii="Arial" w:hAnsi="Arial" w:eastAsia="Arial"/>
                <w:b/>
                <w:color w:val="061820"/>
                <w:sz w:val="17"/>
              </w:rPr>
              <w:t>Tela de métricas</w:t>
            </w:r>
          </w:p>
        </w:tc>
        <w:tc>
          <w:tcPr>
            <w:tcW w:type="dxa" w:w="3888"/>
            <w:shd w:fill="EAF7F6"/>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Carrega os cinquenta instantâneos mais recentes</w:t>
            </w:r>
          </w:p>
        </w:tc>
        <w:tc>
          <w:tcPr>
            <w:tcW w:type="dxa" w:w="4104"/>
            <w:shd w:fill="EAF7F6"/>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Pode mostrar a mesma mídia várias vezes e chamar linhas de publicações</w:t>
            </w:r>
          </w:p>
        </w:tc>
      </w:tr>
      <w:tr>
        <w:trPr>
          <w:cantSplit/>
        </w:trPr>
        <w:tc>
          <w:tcPr>
            <w:tcW w:type="dxa" w:w="1670"/>
            <w:shd w:fill="EEF4F7"/>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center"/>
            </w:pPr>
            <w:r>
              <w:rPr>
                <w:rFonts w:ascii="Arial" w:hAnsi="Arial" w:eastAsia="Arial"/>
                <w:b/>
                <w:color w:val="061820"/>
                <w:sz w:val="17"/>
              </w:rPr>
              <w:t>Relatório semanal</w:t>
            </w:r>
          </w:p>
        </w:tc>
        <w:tc>
          <w:tcPr>
            <w:tcW w:type="dxa" w:w="3888"/>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Seleciona linhas coletadas nos últimos sete dias e soma curtidas e comentários</w:t>
            </w:r>
          </w:p>
        </w:tc>
        <w:tc>
          <w:tcPr>
            <w:tcW w:type="dxa" w:w="4104"/>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Mistura data de coleta data de publicação e valores cumulativos</w:t>
            </w:r>
          </w:p>
        </w:tc>
      </w:tr>
      <w:tr>
        <w:trPr>
          <w:cantSplit/>
        </w:trPr>
        <w:tc>
          <w:tcPr>
            <w:tcW w:type="dxa" w:w="1670"/>
            <w:shd w:fill="EEF4F7"/>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center"/>
            </w:pPr>
            <w:r>
              <w:rPr>
                <w:rFonts w:ascii="Arial" w:hAnsi="Arial" w:eastAsia="Arial"/>
                <w:b/>
                <w:color w:val="061820"/>
                <w:sz w:val="17"/>
              </w:rPr>
              <w:t>Insight de IA</w:t>
            </w:r>
          </w:p>
        </w:tc>
        <w:tc>
          <w:tcPr>
            <w:tcW w:type="dxa" w:w="3888"/>
            <w:shd w:fill="EAF7F6"/>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Envia instantâneos notas e distribuição de comentários ao modelo</w:t>
            </w:r>
          </w:p>
        </w:tc>
        <w:tc>
          <w:tcPr>
            <w:tcW w:type="dxa" w:w="4104"/>
            <w:shd w:fill="EAF7F6"/>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Conta instantâneos como publicações e delega confiança ao texto gerado</w:t>
            </w:r>
          </w:p>
        </w:tc>
      </w:tr>
    </w:tbl>
    <w:p>
      <w:pPr>
        <w:spacing w:after="0"/>
      </w:pPr>
    </w:p>
    <w:p>
      <w:pPr>
        <w:pStyle w:val="Heading2"/>
        <w:keepNext/>
        <w:keepLines/>
        <w:spacing w:before="160" w:after="80"/>
      </w:pPr>
      <w:r>
        <w:rPr>
          <w:rFonts w:ascii="Arial" w:hAnsi="Arial" w:eastAsia="Arial"/>
          <w:b/>
          <w:color w:val="000000"/>
          <w:sz w:val="25"/>
        </w:rPr>
        <w:t>Risco central de dupla contagem</w:t>
      </w:r>
    </w:p>
    <w:p>
      <w:pPr>
        <w:widowControl/>
        <w:spacing w:after="140" w:line="264" w:lineRule="auto"/>
      </w:pPr>
      <w:r>
        <w:rPr>
          <w:rFonts w:ascii="Arial" w:hAnsi="Arial" w:eastAsia="Arial"/>
          <w:color w:val="061820"/>
          <w:sz w:val="21"/>
        </w:rPr>
        <w:t>A chave do snapshot inclui a data e hora da coleta. Portanto, duas importações do mesmo post criam duas linhas válidas. Quando o relatório soma likes e comentários de todas as linhas coletadas na semana, ele soma valores cumulativos repetidos. Esse comportamento não exige erro no banco; é uma consequência direta do modelo e da consulta atuais.</w:t>
      </w:r>
    </w:p>
    <w:p>
      <w:pPr>
        <w:widowControl/>
        <w:spacing w:after="140" w:line="264" w:lineRule="auto"/>
      </w:pPr>
      <w:r>
        <w:rPr>
          <w:rFonts w:ascii="Arial" w:hAnsi="Arial" w:eastAsia="Arial"/>
          <w:color w:val="061820"/>
          <w:sz w:val="21"/>
        </w:rPr>
        <w:t>Exemplo de validação  se um post tiver 100 curtidas na primeira coleta e 120 na segunda, o relatório atual pode exibir 220. Para descrever o estado final, o valor correto é 120. Para descrever crescimento entre coletas, a variação correta é 20.</w:t>
      </w:r>
    </w:p>
    <w:p>
      <w:pPr>
        <w:pStyle w:val="Heading2"/>
        <w:keepNext/>
        <w:keepLines/>
        <w:spacing w:before="160" w:after="80"/>
      </w:pPr>
      <w:r>
        <w:rPr>
          <w:rFonts w:ascii="Arial" w:hAnsi="Arial" w:eastAsia="Arial"/>
          <w:b/>
          <w:color w:val="000000"/>
          <w:sz w:val="25"/>
        </w:rPr>
        <w:t>Risco de período incorreto</w:t>
      </w:r>
    </w:p>
    <w:p>
      <w:pPr>
        <w:widowControl/>
        <w:spacing w:after="140" w:line="264" w:lineRule="auto"/>
      </w:pPr>
      <w:r>
        <w:rPr>
          <w:rFonts w:ascii="Arial" w:hAnsi="Arial" w:eastAsia="Arial"/>
          <w:color w:val="061820"/>
          <w:sz w:val="21"/>
        </w:rPr>
        <w:t>O filtro semanal usa coletado em. Assim, um post publicado há meses pode entrar no relatório se for importado nesta semana. A correlação de notas também compara a data do evento com a data de coleta do melhor snapshot, e não com a data de publicação ou com a janela real em que a métrica mudou.</w:t>
      </w:r>
    </w:p>
    <w:p>
      <w:pPr>
        <w:pStyle w:val="Heading2"/>
        <w:keepNext/>
        <w:keepLines/>
        <w:spacing w:before="160" w:after="80"/>
      </w:pPr>
      <w:r>
        <w:rPr>
          <w:rFonts w:ascii="Arial" w:hAnsi="Arial" w:eastAsia="Arial"/>
          <w:b/>
          <w:color w:val="000000"/>
          <w:sz w:val="25"/>
        </w:rPr>
        <w:t>Lacunas de valor no relatório</w:t>
      </w:r>
    </w:p>
    <w:p>
      <w:pPr>
        <w:pStyle w:val="ListBullet"/>
        <w:keepNext w:val="0"/>
        <w:keepLines/>
        <w:spacing w:after="70" w:line="259" w:lineRule="auto"/>
        <w:ind w:left="317" w:hanging="202"/>
      </w:pPr>
      <w:r>
        <w:rPr>
          <w:rFonts w:ascii="Arial" w:hAnsi="Arial" w:eastAsia="Arial"/>
          <w:color w:val="061820"/>
          <w:sz w:val="20"/>
        </w:rPr>
        <w:t>Não há comparação com os sete dias anteriores nem com uma referência de quatro semanas.</w:t>
      </w:r>
    </w:p>
    <w:p>
      <w:pPr>
        <w:pStyle w:val="ListBullet"/>
        <w:keepNext w:val="0"/>
        <w:keepLines/>
        <w:spacing w:after="70" w:line="259" w:lineRule="auto"/>
        <w:ind w:left="317" w:hanging="202"/>
      </w:pPr>
      <w:r>
        <w:rPr>
          <w:rFonts w:ascii="Arial" w:hAnsi="Arial" w:eastAsia="Arial"/>
          <w:color w:val="061820"/>
          <w:sz w:val="20"/>
        </w:rPr>
        <w:t>Não há separação entre distribuição alcance repetição de exposição e reação do público.</w:t>
      </w:r>
    </w:p>
    <w:p>
      <w:pPr>
        <w:pStyle w:val="ListBullet"/>
        <w:keepNext w:val="0"/>
        <w:keepLines/>
        <w:spacing w:after="70" w:line="259" w:lineRule="auto"/>
        <w:ind w:left="317" w:hanging="202"/>
      </w:pPr>
      <w:r>
        <w:rPr>
          <w:rFonts w:ascii="Arial" w:hAnsi="Arial" w:eastAsia="Arial"/>
          <w:color w:val="061820"/>
          <w:sz w:val="20"/>
        </w:rPr>
        <w:t>Não há normalização por alcance ou idade do post para comparar conteúdos de tamanhos e maturidades diferentes.</w:t>
      </w:r>
    </w:p>
    <w:p>
      <w:pPr>
        <w:pStyle w:val="ListBullet"/>
        <w:keepNext w:val="0"/>
        <w:keepLines/>
        <w:spacing w:after="70" w:line="259" w:lineRule="auto"/>
        <w:ind w:left="317" w:hanging="202"/>
      </w:pPr>
      <w:r>
        <w:rPr>
          <w:rFonts w:ascii="Arial" w:hAnsi="Arial" w:eastAsia="Arial"/>
          <w:color w:val="061820"/>
          <w:sz w:val="20"/>
        </w:rPr>
        <w:t>Não há indicador de cobertura atraso ou ausência de uma métrica; valores ausentes podem parecer zero.</w:t>
      </w:r>
    </w:p>
    <w:p>
      <w:pPr>
        <w:pStyle w:val="ListBullet"/>
        <w:keepNext w:val="0"/>
        <w:keepLines/>
        <w:spacing w:after="70" w:line="259" w:lineRule="auto"/>
        <w:ind w:left="317" w:hanging="202"/>
      </w:pPr>
      <w:r>
        <w:rPr>
          <w:rFonts w:ascii="Arial" w:hAnsi="Arial" w:eastAsia="Arial"/>
          <w:color w:val="061820"/>
          <w:sz w:val="20"/>
        </w:rPr>
        <w:t>Não há vínculo entre insight aprovado ação executada e resultado observado depois.</w:t>
      </w:r>
    </w:p>
    <w:p>
      <w:pPr>
        <w:pStyle w:val="Heading1"/>
        <w:keepNext/>
        <w:keepLines/>
        <w:pageBreakBefore/>
        <w:spacing w:before="240" w:after="120"/>
      </w:pPr>
      <w:r>
        <w:rPr>
          <w:rFonts w:ascii="Arial" w:hAnsi="Arial" w:eastAsia="Arial"/>
          <w:b/>
          <w:color w:val="000000"/>
          <w:sz w:val="34"/>
        </w:rPr>
        <w:t>Modelo de medição recomendado</w:t>
      </w:r>
    </w:p>
    <w:p>
      <w:pPr>
        <w:widowControl/>
        <w:spacing w:after="140" w:line="264" w:lineRule="auto"/>
      </w:pPr>
      <w:r>
        <w:rPr>
          <w:rFonts w:ascii="Arial" w:hAnsi="Arial" w:eastAsia="Arial"/>
          <w:color w:val="061820"/>
          <w:sz w:val="21"/>
        </w:rPr>
        <w:t>A análise deve separar volume de exposição audiência única resposta do público e efeito de negócio. Visualizações e alcance são complementares: visualizações medem ocorrências de exibição ou reprodução e podem se repetir; alcance representa contas únicas no escopo disponibilizado pela API.</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1843"/>
            <w:shd w:fill="0D6F6A"/>
            <w:tcMar>
              <w:top w:w="105" w:type="dxa"/>
              <w:start w:w="110" w:type="dxa"/>
              <w:bottom w:w="10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center"/>
            </w:pPr>
            <w:r>
              <w:rPr>
                <w:rFonts w:ascii="Arial" w:hAnsi="Arial" w:eastAsia="Arial"/>
                <w:b/>
                <w:color w:val="FFFFFF"/>
                <w:sz w:val="18"/>
              </w:rPr>
              <w:t>Métrica</w:t>
            </w:r>
          </w:p>
        </w:tc>
        <w:tc>
          <w:tcPr>
            <w:tcW w:type="dxa" w:w="2549"/>
            <w:shd w:fill="0D6F6A"/>
            <w:tcMar>
              <w:top w:w="105" w:type="dxa"/>
              <w:start w:w="110" w:type="dxa"/>
              <w:bottom w:w="10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Pr>
                <w:rFonts w:ascii="Arial" w:hAnsi="Arial" w:eastAsia="Arial"/>
                <w:b/>
                <w:color w:val="FFFFFF"/>
                <w:sz w:val="18"/>
              </w:rPr>
              <w:t>Pergunta respondida</w:t>
            </w:r>
          </w:p>
        </w:tc>
        <w:tc>
          <w:tcPr>
            <w:tcW w:type="dxa" w:w="2880"/>
            <w:shd w:fill="0D6F6A"/>
            <w:tcMar>
              <w:top w:w="105" w:type="dxa"/>
              <w:start w:w="110" w:type="dxa"/>
              <w:bottom w:w="10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Pr>
                <w:rFonts w:ascii="Arial" w:hAnsi="Arial" w:eastAsia="Arial"/>
                <w:b/>
                <w:color w:val="FFFFFF"/>
                <w:sz w:val="18"/>
              </w:rPr>
              <w:t>Uso recomendado</w:t>
            </w:r>
          </w:p>
        </w:tc>
        <w:tc>
          <w:tcPr>
            <w:tcW w:type="dxa" w:w="2448"/>
            <w:shd w:fill="0D6F6A"/>
            <w:tcMar>
              <w:top w:w="105" w:type="dxa"/>
              <w:start w:w="110" w:type="dxa"/>
              <w:bottom w:w="10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Pr>
                <w:rFonts w:ascii="Arial" w:hAnsi="Arial" w:eastAsia="Arial"/>
                <w:b/>
                <w:color w:val="FFFFFF"/>
                <w:sz w:val="18"/>
              </w:rPr>
              <w:t>Regra de qualidade</w:t>
            </w:r>
          </w:p>
        </w:tc>
      </w:tr>
      <w:tr>
        <w:trPr>
          <w:cantSplit/>
        </w:trPr>
        <w:tc>
          <w:tcPr>
            <w:tcW w:type="dxa" w:w="1843"/>
            <w:shd w:fill="EEF4F7"/>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center"/>
            </w:pPr>
            <w:r>
              <w:rPr>
                <w:rFonts w:ascii="Arial" w:hAnsi="Arial" w:eastAsia="Arial"/>
                <w:b/>
                <w:color w:val="061820"/>
                <w:sz w:val="17"/>
              </w:rPr>
              <w:t>Visualizações</w:t>
            </w:r>
          </w:p>
        </w:tc>
        <w:tc>
          <w:tcPr>
            <w:tcW w:type="dxa" w:w="2549"/>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Quanto o conteúdo foi exibido ou reproduzido</w:t>
            </w:r>
          </w:p>
        </w:tc>
        <w:tc>
          <w:tcPr>
            <w:tcW w:type="dxa" w:w="2880"/>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Indicador principal de distribuição e consumo</w:t>
            </w:r>
          </w:p>
        </w:tc>
        <w:tc>
          <w:tcPr>
            <w:tcW w:type="dxa" w:w="2448"/>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Nunca interpretar como pessoas únicas</w:t>
            </w:r>
          </w:p>
        </w:tc>
      </w:tr>
      <w:tr>
        <w:trPr>
          <w:cantSplit/>
        </w:trPr>
        <w:tc>
          <w:tcPr>
            <w:tcW w:type="dxa" w:w="1843"/>
            <w:shd w:fill="EEF4F7"/>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center"/>
            </w:pPr>
            <w:r>
              <w:rPr>
                <w:rFonts w:ascii="Arial" w:hAnsi="Arial" w:eastAsia="Arial"/>
                <w:b/>
                <w:color w:val="061820"/>
                <w:sz w:val="17"/>
              </w:rPr>
              <w:t>Alcance</w:t>
            </w:r>
          </w:p>
        </w:tc>
        <w:tc>
          <w:tcPr>
            <w:tcW w:type="dxa" w:w="2549"/>
            <w:shd w:fill="EAF7F6"/>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Quantas contas únicas receberam o conteúdo</w:t>
            </w:r>
          </w:p>
        </w:tc>
        <w:tc>
          <w:tcPr>
            <w:tcW w:type="dxa" w:w="2880"/>
            <w:shd w:fill="EAF7F6"/>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Base para taxas de interação e expansão de audiência</w:t>
            </w:r>
          </w:p>
        </w:tc>
        <w:tc>
          <w:tcPr>
            <w:tcW w:type="dxa" w:w="2448"/>
            <w:shd w:fill="EAF7F6"/>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Não somar alcances de posts para representar alcance único da conta</w:t>
            </w:r>
          </w:p>
        </w:tc>
      </w:tr>
      <w:tr>
        <w:trPr>
          <w:cantSplit/>
        </w:trPr>
        <w:tc>
          <w:tcPr>
            <w:tcW w:type="dxa" w:w="1843"/>
            <w:shd w:fill="EEF4F7"/>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center"/>
            </w:pPr>
            <w:r>
              <w:rPr>
                <w:rFonts w:ascii="Arial" w:hAnsi="Arial" w:eastAsia="Arial"/>
                <w:b/>
                <w:color w:val="061820"/>
                <w:sz w:val="17"/>
              </w:rPr>
              <w:t>Frequência</w:t>
            </w:r>
          </w:p>
        </w:tc>
        <w:tc>
          <w:tcPr>
            <w:tcW w:type="dxa" w:w="2549"/>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Quantas visualizações ocorreram por conta alcançada</w:t>
            </w:r>
          </w:p>
        </w:tc>
        <w:tc>
          <w:tcPr>
            <w:tcW w:type="dxa" w:w="2880"/>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Distinguir expansão de repetição</w:t>
            </w:r>
          </w:p>
        </w:tc>
        <w:tc>
          <w:tcPr>
            <w:tcW w:type="dxa" w:w="2448"/>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Calcular somente quando alcance for maior que zero</w:t>
            </w:r>
          </w:p>
        </w:tc>
      </w:tr>
      <w:tr>
        <w:trPr>
          <w:cantSplit/>
        </w:trPr>
        <w:tc>
          <w:tcPr>
            <w:tcW w:type="dxa" w:w="1843"/>
            <w:shd w:fill="EEF4F7"/>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center"/>
            </w:pPr>
            <w:r>
              <w:rPr>
                <w:rFonts w:ascii="Arial" w:hAnsi="Arial" w:eastAsia="Arial"/>
                <w:b/>
                <w:color w:val="061820"/>
                <w:sz w:val="17"/>
              </w:rPr>
              <w:t>Interações</w:t>
            </w:r>
          </w:p>
        </w:tc>
        <w:tc>
          <w:tcPr>
            <w:tcW w:type="dxa" w:w="2549"/>
            <w:shd w:fill="EAF7F6"/>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Quantas ações ocorreram após a exposição</w:t>
            </w:r>
          </w:p>
        </w:tc>
        <w:tc>
          <w:tcPr>
            <w:tcW w:type="dxa" w:w="2880"/>
            <w:shd w:fill="EAF7F6"/>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Somar curtidas comentários salvamentos e compartilhamentos quando disponíveis</w:t>
            </w:r>
          </w:p>
        </w:tc>
        <w:tc>
          <w:tcPr>
            <w:tcW w:type="dxa" w:w="2448"/>
            <w:shd w:fill="EAF7F6"/>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Informar composição e métricas ausentes</w:t>
            </w:r>
          </w:p>
        </w:tc>
      </w:tr>
      <w:tr>
        <w:trPr>
          <w:cantSplit/>
        </w:trPr>
        <w:tc>
          <w:tcPr>
            <w:tcW w:type="dxa" w:w="1843"/>
            <w:shd w:fill="EEF4F7"/>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center"/>
            </w:pPr>
            <w:r>
              <w:rPr>
                <w:rFonts w:ascii="Arial" w:hAnsi="Arial" w:eastAsia="Arial"/>
                <w:b/>
                <w:color w:val="061820"/>
                <w:sz w:val="17"/>
              </w:rPr>
              <w:t>Salvamentos</w:t>
            </w:r>
          </w:p>
        </w:tc>
        <w:tc>
          <w:tcPr>
            <w:tcW w:type="dxa" w:w="2549"/>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O conteúdo teve valor de consulta futura</w:t>
            </w:r>
          </w:p>
        </w:tc>
        <w:tc>
          <w:tcPr>
            <w:tcW w:type="dxa" w:w="2880"/>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Sinal de utilidade e profundidade</w:t>
            </w:r>
          </w:p>
        </w:tc>
        <w:tc>
          <w:tcPr>
            <w:tcW w:type="dxa" w:w="2448"/>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Comparar por alcance e por pilar</w:t>
            </w:r>
          </w:p>
        </w:tc>
      </w:tr>
      <w:tr>
        <w:trPr>
          <w:cantSplit/>
        </w:trPr>
        <w:tc>
          <w:tcPr>
            <w:tcW w:type="dxa" w:w="1843"/>
            <w:shd w:fill="EEF4F7"/>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center"/>
            </w:pPr>
            <w:r>
              <w:rPr>
                <w:rFonts w:ascii="Arial" w:hAnsi="Arial" w:eastAsia="Arial"/>
                <w:b/>
                <w:color w:val="061820"/>
                <w:sz w:val="17"/>
              </w:rPr>
              <w:t>Compartilhamentos</w:t>
            </w:r>
          </w:p>
        </w:tc>
        <w:tc>
          <w:tcPr>
            <w:tcW w:type="dxa" w:w="2549"/>
            <w:shd w:fill="EAF7F6"/>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O conteúdo foi distribuído pelo público</w:t>
            </w:r>
          </w:p>
        </w:tc>
        <w:tc>
          <w:tcPr>
            <w:tcW w:type="dxa" w:w="2880"/>
            <w:shd w:fill="EAF7F6"/>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Sinal de recomendação e propagação</w:t>
            </w:r>
          </w:p>
        </w:tc>
        <w:tc>
          <w:tcPr>
            <w:tcW w:type="dxa" w:w="2448"/>
            <w:shd w:fill="EAF7F6"/>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Analisar junto de alcance e formato</w:t>
            </w:r>
          </w:p>
        </w:tc>
      </w:tr>
      <w:tr>
        <w:trPr>
          <w:cantSplit/>
        </w:trPr>
        <w:tc>
          <w:tcPr>
            <w:tcW w:type="dxa" w:w="1843"/>
            <w:shd w:fill="EEF4F7"/>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center"/>
            </w:pPr>
            <w:r>
              <w:rPr>
                <w:rFonts w:ascii="Arial" w:hAnsi="Arial" w:eastAsia="Arial"/>
                <w:b/>
                <w:color w:val="061820"/>
                <w:sz w:val="17"/>
              </w:rPr>
              <w:t>Tempo médio de exibição</w:t>
            </w:r>
          </w:p>
        </w:tc>
        <w:tc>
          <w:tcPr>
            <w:tcW w:type="dxa" w:w="2549"/>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O Reel reteve atenção</w:t>
            </w:r>
          </w:p>
        </w:tc>
        <w:tc>
          <w:tcPr>
            <w:tcW w:type="dxa" w:w="2880"/>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Avaliar criativo e ritmo de vídeo</w:t>
            </w:r>
          </w:p>
        </w:tc>
        <w:tc>
          <w:tcPr>
            <w:tcW w:type="dxa" w:w="2448"/>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Usar apenas nos formatos e versões de API que retornarem o campo</w:t>
            </w:r>
          </w:p>
        </w:tc>
      </w:tr>
      <w:tr>
        <w:trPr>
          <w:cantSplit/>
        </w:trPr>
        <w:tc>
          <w:tcPr>
            <w:tcW w:type="dxa" w:w="1843"/>
            <w:shd w:fill="EEF4F7"/>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center"/>
            </w:pPr>
            <w:r>
              <w:rPr>
                <w:rFonts w:ascii="Arial" w:hAnsi="Arial" w:eastAsia="Arial"/>
                <w:b/>
                <w:color w:val="061820"/>
                <w:sz w:val="17"/>
              </w:rPr>
              <w:t>Ações de perfil e seguidores</w:t>
            </w:r>
          </w:p>
        </w:tc>
        <w:tc>
          <w:tcPr>
            <w:tcW w:type="dxa" w:w="2549"/>
            <w:shd w:fill="EAF7F6"/>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A exposição gerou aproximação com a marca</w:t>
            </w:r>
          </w:p>
        </w:tc>
        <w:tc>
          <w:tcPr>
            <w:tcW w:type="dxa" w:w="2880"/>
            <w:shd w:fill="EAF7F6"/>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Avaliar efeito no nível da conta</w:t>
            </w:r>
          </w:p>
        </w:tc>
        <w:tc>
          <w:tcPr>
            <w:tcW w:type="dxa" w:w="2448"/>
            <w:shd w:fill="EAF7F6"/>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Evitar atribuir toda variação a um post específico</w:t>
            </w:r>
          </w:p>
        </w:tc>
      </w:tr>
    </w:tbl>
    <w:p>
      <w:pPr>
        <w:spacing w:after="0"/>
      </w:pPr>
    </w:p>
    <w:p>
      <w:pPr>
        <w:pStyle w:val="Heading2"/>
        <w:keepNext/>
        <w:keepLines/>
        <w:spacing w:before="160" w:after="80"/>
      </w:pPr>
      <w:r>
        <w:rPr>
          <w:rFonts w:ascii="Arial" w:hAnsi="Arial" w:eastAsia="Arial"/>
          <w:b/>
          <w:color w:val="000000"/>
          <w:sz w:val="25"/>
        </w:rPr>
        <w:t>Fórmulas de leitura</w:t>
      </w:r>
    </w:p>
    <w:p>
      <w:pPr>
        <w:keepLines/>
        <w:spacing w:after="100"/>
        <w:ind w:left="403"/>
      </w:pPr>
      <w:r>
        <w:rPr>
          <w:rFonts w:ascii="Arial" w:hAnsi="Arial" w:eastAsia="Arial"/>
          <w:b/>
          <w:color w:val="061820"/>
          <w:sz w:val="20"/>
        </w:rPr>
        <w:t xml:space="preserve">Frequência  </w:t>
      </w:r>
      <w:r>
        <w:rPr>
          <w:rFonts w:ascii="Consolas" w:hAnsi="Consolas" w:eastAsia="Consolas"/>
          <w:b/>
          <w:color w:val="0D6F6A"/>
          <w:sz w:val="19"/>
        </w:rPr>
        <w:t>visualizações / alcance</w:t>
      </w:r>
      <w:r>
        <w:rPr>
          <w:rFonts w:ascii="Arial" w:hAnsi="Arial" w:eastAsia="Arial"/>
          <w:color w:val="5B666B"/>
          <w:sz w:val="20"/>
        </w:rPr>
        <w:t xml:space="preserve">  mede repetição média de exposição dentro do escopo da métrica</w:t>
      </w:r>
    </w:p>
    <w:p>
      <w:pPr>
        <w:keepLines/>
        <w:spacing w:after="100"/>
        <w:ind w:left="403"/>
      </w:pPr>
      <w:r>
        <w:rPr>
          <w:rFonts w:ascii="Arial" w:hAnsi="Arial" w:eastAsia="Arial"/>
          <w:b/>
          <w:color w:val="061820"/>
          <w:sz w:val="20"/>
        </w:rPr>
        <w:t xml:space="preserve">Taxa de interação por alcance  </w:t>
      </w:r>
      <w:r>
        <w:rPr>
          <w:rFonts w:ascii="Consolas" w:hAnsi="Consolas" w:eastAsia="Consolas"/>
          <w:b/>
          <w:color w:val="0D6F6A"/>
          <w:sz w:val="19"/>
        </w:rPr>
        <w:t>interações / alcance</w:t>
      </w:r>
      <w:r>
        <w:rPr>
          <w:rFonts w:ascii="Arial" w:hAnsi="Arial" w:eastAsia="Arial"/>
          <w:color w:val="5B666B"/>
          <w:sz w:val="20"/>
        </w:rPr>
        <w:t xml:space="preserve">  compara resposta entre conteúdos com audiências diferentes</w:t>
      </w:r>
    </w:p>
    <w:p>
      <w:pPr>
        <w:keepLines/>
        <w:spacing w:after="100"/>
        <w:ind w:left="403"/>
      </w:pPr>
      <w:r>
        <w:rPr>
          <w:rFonts w:ascii="Arial" w:hAnsi="Arial" w:eastAsia="Arial"/>
          <w:b/>
          <w:color w:val="061820"/>
          <w:sz w:val="20"/>
        </w:rPr>
        <w:t xml:space="preserve">Taxa de salvamento  </w:t>
      </w:r>
      <w:r>
        <w:rPr>
          <w:rFonts w:ascii="Consolas" w:hAnsi="Consolas" w:eastAsia="Consolas"/>
          <w:b/>
          <w:color w:val="0D6F6A"/>
          <w:sz w:val="19"/>
        </w:rPr>
        <w:t>salvamentos / alcance</w:t>
      </w:r>
      <w:r>
        <w:rPr>
          <w:rFonts w:ascii="Arial" w:hAnsi="Arial" w:eastAsia="Arial"/>
          <w:color w:val="5B666B"/>
          <w:sz w:val="20"/>
        </w:rPr>
        <w:t xml:space="preserve">  indica utilidade percebida</w:t>
      </w:r>
    </w:p>
    <w:p>
      <w:pPr>
        <w:keepLines/>
        <w:spacing w:after="100"/>
        <w:ind w:left="403"/>
      </w:pPr>
      <w:r>
        <w:rPr>
          <w:rFonts w:ascii="Arial" w:hAnsi="Arial" w:eastAsia="Arial"/>
          <w:b/>
          <w:color w:val="061820"/>
          <w:sz w:val="20"/>
        </w:rPr>
        <w:t xml:space="preserve">Taxa de compartilhamento  </w:t>
      </w:r>
      <w:r>
        <w:rPr>
          <w:rFonts w:ascii="Consolas" w:hAnsi="Consolas" w:eastAsia="Consolas"/>
          <w:b/>
          <w:color w:val="0D6F6A"/>
          <w:sz w:val="19"/>
        </w:rPr>
        <w:t>compartilhamentos / alcance</w:t>
      </w:r>
      <w:r>
        <w:rPr>
          <w:rFonts w:ascii="Arial" w:hAnsi="Arial" w:eastAsia="Arial"/>
          <w:color w:val="5B666B"/>
          <w:sz w:val="20"/>
        </w:rPr>
        <w:t xml:space="preserve">  indica propagação pelo público</w:t>
      </w:r>
    </w:p>
    <w:p>
      <w:pPr>
        <w:keepLines/>
        <w:spacing w:after="100"/>
        <w:ind w:left="403"/>
      </w:pPr>
      <w:r>
        <w:rPr>
          <w:rFonts w:ascii="Arial" w:hAnsi="Arial" w:eastAsia="Arial"/>
          <w:b/>
          <w:color w:val="061820"/>
          <w:sz w:val="20"/>
        </w:rPr>
        <w:t xml:space="preserve">Velocidade de visualização  </w:t>
      </w:r>
      <w:r>
        <w:rPr>
          <w:rFonts w:ascii="Consolas" w:hAnsi="Consolas" w:eastAsia="Consolas"/>
          <w:b/>
          <w:color w:val="0D6F6A"/>
          <w:sz w:val="19"/>
        </w:rPr>
        <w:t>variação de visualizações / horas</w:t>
      </w:r>
      <w:r>
        <w:rPr>
          <w:rFonts w:ascii="Arial" w:hAnsi="Arial" w:eastAsia="Arial"/>
          <w:color w:val="5B666B"/>
          <w:sz w:val="20"/>
        </w:rPr>
        <w:t xml:space="preserve">  compara tração em janelas equivalentes</w:t>
      </w:r>
    </w:p>
    <w:p>
      <w:pPr>
        <w:pStyle w:val="Heading2"/>
        <w:keepNext/>
        <w:keepLines/>
        <w:spacing w:before="160" w:after="80"/>
      </w:pPr>
      <w:r>
        <w:rPr>
          <w:rFonts w:ascii="Arial" w:hAnsi="Arial" w:eastAsia="Arial"/>
          <w:b/>
          <w:color w:val="000000"/>
          <w:sz w:val="25"/>
        </w:rPr>
        <w:t>Regras que evitam leituras enganosas</w:t>
      </w:r>
    </w:p>
    <w:p>
      <w:pPr>
        <w:pStyle w:val="ListBullet"/>
        <w:keepNext w:val="0"/>
        <w:keepLines/>
        <w:spacing w:after="70" w:line="259" w:lineRule="auto"/>
        <w:ind w:left="317" w:hanging="202"/>
      </w:pPr>
      <w:r>
        <w:rPr>
          <w:rFonts w:ascii="Arial" w:hAnsi="Arial" w:eastAsia="Arial"/>
          <w:b/>
          <w:color w:val="061820"/>
          <w:sz w:val="20"/>
        </w:rPr>
        <w:t xml:space="preserve">Ausente não é zero  </w:t>
      </w:r>
      <w:r>
        <w:rPr>
          <w:rFonts w:ascii="Arial" w:hAnsi="Arial" w:eastAsia="Arial"/>
          <w:color w:val="061820"/>
          <w:sz w:val="20"/>
        </w:rPr>
        <w:t>guardar disponibilidade por métrica e mostrar não disponível quando a API não retornar o campo.</w:t>
      </w:r>
    </w:p>
    <w:p>
      <w:pPr>
        <w:pStyle w:val="ListBullet"/>
        <w:keepNext w:val="0"/>
        <w:keepLines/>
        <w:spacing w:after="70" w:line="259" w:lineRule="auto"/>
        <w:ind w:left="317" w:hanging="202"/>
      </w:pPr>
      <w:r>
        <w:rPr>
          <w:rFonts w:ascii="Arial" w:hAnsi="Arial" w:eastAsia="Arial"/>
          <w:b/>
          <w:color w:val="061820"/>
          <w:sz w:val="20"/>
        </w:rPr>
        <w:t xml:space="preserve">Conta não é soma de posts  </w:t>
      </w:r>
      <w:r>
        <w:rPr>
          <w:rFonts w:ascii="Arial" w:hAnsi="Arial" w:eastAsia="Arial"/>
          <w:color w:val="061820"/>
          <w:sz w:val="20"/>
        </w:rPr>
        <w:t>usar insights da conta para alcance e visualizações únicos do período; métricas por mídia servem para diagnóstico de conteúdo.</w:t>
      </w:r>
    </w:p>
    <w:p>
      <w:pPr>
        <w:pStyle w:val="ListBullet"/>
        <w:keepNext w:val="0"/>
        <w:keepLines/>
        <w:spacing w:after="70" w:line="259" w:lineRule="auto"/>
        <w:ind w:left="317" w:hanging="202"/>
      </w:pPr>
      <w:r>
        <w:rPr>
          <w:rFonts w:ascii="Arial" w:hAnsi="Arial" w:eastAsia="Arial"/>
          <w:b/>
          <w:color w:val="061820"/>
          <w:sz w:val="20"/>
        </w:rPr>
        <w:t xml:space="preserve">Idade deve ser comparável  </w:t>
      </w:r>
      <w:r>
        <w:rPr>
          <w:rFonts w:ascii="Arial" w:hAnsi="Arial" w:eastAsia="Arial"/>
          <w:color w:val="061820"/>
          <w:sz w:val="20"/>
        </w:rPr>
        <w:t>avaliar posts em marcos D1 D3 D7 e D30 ou controlar a idade no ranking.</w:t>
      </w:r>
    </w:p>
    <w:p>
      <w:pPr>
        <w:pStyle w:val="ListBullet"/>
        <w:keepNext w:val="0"/>
        <w:keepLines/>
        <w:spacing w:after="70" w:line="259" w:lineRule="auto"/>
        <w:ind w:left="317" w:hanging="202"/>
      </w:pPr>
      <w:r>
        <w:rPr>
          <w:rFonts w:ascii="Arial" w:hAnsi="Arial" w:eastAsia="Arial"/>
          <w:b/>
          <w:color w:val="061820"/>
          <w:sz w:val="20"/>
        </w:rPr>
        <w:t xml:space="preserve">Mediana antes da média  </w:t>
      </w:r>
      <w:r>
        <w:rPr>
          <w:rFonts w:ascii="Arial" w:hAnsi="Arial" w:eastAsia="Arial"/>
          <w:color w:val="061820"/>
          <w:sz w:val="20"/>
        </w:rPr>
        <w:t>usar mediana e intervalo para reduzir o efeito de um único conteúdo viral.</w:t>
      </w:r>
    </w:p>
    <w:p>
      <w:pPr>
        <w:pStyle w:val="ListBullet"/>
        <w:keepNext w:val="0"/>
        <w:keepLines/>
        <w:spacing w:after="70" w:line="259" w:lineRule="auto"/>
        <w:ind w:left="317" w:hanging="202"/>
      </w:pPr>
      <w:r>
        <w:rPr>
          <w:rFonts w:ascii="Arial" w:hAnsi="Arial" w:eastAsia="Arial"/>
          <w:b/>
          <w:color w:val="061820"/>
          <w:sz w:val="20"/>
        </w:rPr>
        <w:t xml:space="preserve">Orgânico e pago precisam de rótulo  </w:t>
      </w:r>
      <w:r>
        <w:rPr>
          <w:rFonts w:ascii="Arial" w:hAnsi="Arial" w:eastAsia="Arial"/>
          <w:color w:val="061820"/>
          <w:sz w:val="20"/>
        </w:rPr>
        <w:t>quando a API não separar a origem, declarar a limitação no relatório.</w:t>
      </w:r>
    </w:p>
    <w:p>
      <w:pPr>
        <w:pStyle w:val="Heading1"/>
        <w:keepNext/>
        <w:keepLines/>
        <w:pageBreakBefore/>
        <w:spacing w:before="240" w:after="120"/>
      </w:pPr>
      <w:r>
        <w:rPr>
          <w:rFonts w:ascii="Arial" w:hAnsi="Arial" w:eastAsia="Arial"/>
          <w:b/>
          <w:color w:val="000000"/>
          <w:sz w:val="34"/>
        </w:rPr>
        <w:t>Arquitetura de dados proposta</w:t>
      </w:r>
    </w:p>
    <w:p>
      <w:pPr>
        <w:widowControl/>
        <w:spacing w:after="140" w:line="264" w:lineRule="auto"/>
      </w:pPr>
      <w:r>
        <w:rPr>
          <w:rFonts w:ascii="Arial" w:hAnsi="Arial" w:eastAsia="Arial"/>
          <w:color w:val="061820"/>
          <w:sz w:val="21"/>
        </w:rPr>
        <w:t>A evolução pode preservar a tabela atual durante a transição, mas deve separar identidade da mídia de observações de métricas. Colunas tipadas facilitam consultas e testes; o payload bruto preserva auditabilidade e permite reprocessamento após mudanças de regra.</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045"/>
            <w:shd w:fill="0D6F6A"/>
            <w:tcMar>
              <w:top w:w="105" w:type="dxa"/>
              <w:start w:w="110" w:type="dxa"/>
              <w:bottom w:w="10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center"/>
            </w:pPr>
            <w:r>
              <w:rPr>
                <w:rFonts w:ascii="Arial" w:hAnsi="Arial" w:eastAsia="Arial"/>
                <w:b/>
                <w:color w:val="FFFFFF"/>
                <w:sz w:val="18"/>
              </w:rPr>
              <w:t>Componente</w:t>
            </w:r>
          </w:p>
        </w:tc>
        <w:tc>
          <w:tcPr>
            <w:tcW w:type="dxa" w:w="2952"/>
            <w:shd w:fill="0D6F6A"/>
            <w:tcMar>
              <w:top w:w="105" w:type="dxa"/>
              <w:start w:w="110" w:type="dxa"/>
              <w:bottom w:w="10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Pr>
                <w:rFonts w:ascii="Arial" w:hAnsi="Arial" w:eastAsia="Arial"/>
                <w:b/>
                <w:color w:val="FFFFFF"/>
                <w:sz w:val="18"/>
              </w:rPr>
              <w:t>Responsabilidade</w:t>
            </w:r>
          </w:p>
        </w:tc>
        <w:tc>
          <w:tcPr>
            <w:tcW w:type="dxa" w:w="4723"/>
            <w:shd w:fill="0D6F6A"/>
            <w:tcMar>
              <w:top w:w="105" w:type="dxa"/>
              <w:start w:w="110" w:type="dxa"/>
              <w:bottom w:w="10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Pr>
                <w:rFonts w:ascii="Arial" w:hAnsi="Arial" w:eastAsia="Arial"/>
                <w:b/>
                <w:color w:val="FFFFFF"/>
                <w:sz w:val="18"/>
              </w:rPr>
              <w:t>Campos essenciais</w:t>
            </w:r>
          </w:p>
        </w:tc>
      </w:tr>
      <w:tr>
        <w:trPr>
          <w:cantSplit/>
        </w:trPr>
        <w:tc>
          <w:tcPr>
            <w:tcW w:type="dxa" w:w="2045"/>
            <w:shd w:fill="EEF4F7"/>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center"/>
            </w:pPr>
            <w:r>
              <w:rPr>
                <w:rFonts w:ascii="Arial" w:hAnsi="Arial" w:eastAsia="Arial"/>
                <w:b/>
                <w:color w:val="061820"/>
                <w:sz w:val="17"/>
              </w:rPr>
              <w:t>Mídia do Instagram</w:t>
            </w:r>
          </w:p>
        </w:tc>
        <w:tc>
          <w:tcPr>
            <w:tcW w:type="dxa" w:w="2952"/>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Uma linha por conteúdo</w:t>
            </w:r>
          </w:p>
        </w:tc>
        <w:tc>
          <w:tcPr>
            <w:tcW w:type="dxa" w:w="4723"/>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workspace mídia tipo produto legenda permalink publicado em</w:t>
            </w:r>
          </w:p>
        </w:tc>
      </w:tr>
      <w:tr>
        <w:trPr>
          <w:cantSplit/>
        </w:trPr>
        <w:tc>
          <w:tcPr>
            <w:tcW w:type="dxa" w:w="2045"/>
            <w:shd w:fill="EEF4F7"/>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center"/>
            </w:pPr>
            <w:r>
              <w:rPr>
                <w:rFonts w:ascii="Arial" w:hAnsi="Arial" w:eastAsia="Arial"/>
                <w:b/>
                <w:color w:val="061820"/>
                <w:sz w:val="17"/>
              </w:rPr>
              <w:t>Snapshot por mídia</w:t>
            </w:r>
          </w:p>
        </w:tc>
        <w:tc>
          <w:tcPr>
            <w:tcW w:type="dxa" w:w="2952"/>
            <w:shd w:fill="EAF7F6"/>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Uma observação por conteúdo e coleta</w:t>
            </w:r>
          </w:p>
        </w:tc>
        <w:tc>
          <w:tcPr>
            <w:tcW w:type="dxa" w:w="4723"/>
            <w:shd w:fill="EAF7F6"/>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visualizações alcance likes comentários salvamentos compartilhamentos tempo de exibição coletado em</w:t>
            </w:r>
          </w:p>
        </w:tc>
      </w:tr>
      <w:tr>
        <w:trPr>
          <w:cantSplit/>
        </w:trPr>
        <w:tc>
          <w:tcPr>
            <w:tcW w:type="dxa" w:w="2045"/>
            <w:shd w:fill="EEF4F7"/>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center"/>
            </w:pPr>
            <w:r>
              <w:rPr>
                <w:rFonts w:ascii="Arial" w:hAnsi="Arial" w:eastAsia="Arial"/>
                <w:b/>
                <w:color w:val="061820"/>
                <w:sz w:val="17"/>
              </w:rPr>
              <w:t>Métrica diária da conta</w:t>
            </w:r>
          </w:p>
        </w:tc>
        <w:tc>
          <w:tcPr>
            <w:tcW w:type="dxa" w:w="2952"/>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Série temporal do perfil</w:t>
            </w:r>
          </w:p>
        </w:tc>
        <w:tc>
          <w:tcPr>
            <w:tcW w:type="dxa" w:w="4723"/>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data visualizações alcance interações ações de perfil seguidores e disponibilidade</w:t>
            </w:r>
          </w:p>
        </w:tc>
      </w:tr>
      <w:tr>
        <w:trPr>
          <w:cantSplit/>
        </w:trPr>
        <w:tc>
          <w:tcPr>
            <w:tcW w:type="dxa" w:w="2045"/>
            <w:shd w:fill="EEF4F7"/>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center"/>
            </w:pPr>
            <w:r>
              <w:rPr>
                <w:rFonts w:ascii="Arial" w:hAnsi="Arial" w:eastAsia="Arial"/>
                <w:b/>
                <w:color w:val="061820"/>
                <w:sz w:val="17"/>
              </w:rPr>
              <w:t>Execução de importação</w:t>
            </w:r>
          </w:p>
        </w:tc>
        <w:tc>
          <w:tcPr>
            <w:tcW w:type="dxa" w:w="2952"/>
            <w:shd w:fill="EAF7F6"/>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Rastreabilidade operacional</w:t>
            </w:r>
          </w:p>
        </w:tc>
        <w:tc>
          <w:tcPr>
            <w:tcW w:type="dxa" w:w="4723"/>
            <w:shd w:fill="EAF7F6"/>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versão da API escopos cursor cobertura erros por métrica início e fim</w:t>
            </w:r>
          </w:p>
        </w:tc>
      </w:tr>
      <w:tr>
        <w:trPr>
          <w:cantSplit/>
        </w:trPr>
        <w:tc>
          <w:tcPr>
            <w:tcW w:type="dxa" w:w="2045"/>
            <w:shd w:fill="EEF4F7"/>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center"/>
            </w:pPr>
            <w:r>
              <w:rPr>
                <w:rFonts w:ascii="Arial" w:hAnsi="Arial" w:eastAsia="Arial"/>
                <w:b/>
                <w:color w:val="061820"/>
                <w:sz w:val="17"/>
              </w:rPr>
              <w:t>Relatório persistido</w:t>
            </w:r>
          </w:p>
        </w:tc>
        <w:tc>
          <w:tcPr>
            <w:tcW w:type="dxa" w:w="2952"/>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Versão auditável da análise</w:t>
            </w:r>
          </w:p>
        </w:tc>
        <w:tc>
          <w:tcPr>
            <w:tcW w:type="dxa" w:w="4723"/>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período fuso versão do cálculo cobertura indicadores evidências e gerado em</w:t>
            </w:r>
          </w:p>
        </w:tc>
      </w:tr>
      <w:tr>
        <w:trPr>
          <w:cantSplit/>
        </w:trPr>
        <w:tc>
          <w:tcPr>
            <w:tcW w:type="dxa" w:w="2045"/>
            <w:shd w:fill="EEF4F7"/>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center"/>
            </w:pPr>
            <w:r>
              <w:rPr>
                <w:rFonts w:ascii="Arial" w:hAnsi="Arial" w:eastAsia="Arial"/>
                <w:b/>
                <w:color w:val="061820"/>
                <w:sz w:val="17"/>
              </w:rPr>
              <w:t>Insight revisável</w:t>
            </w:r>
          </w:p>
        </w:tc>
        <w:tc>
          <w:tcPr>
            <w:tcW w:type="dxa" w:w="2952"/>
            <w:shd w:fill="EAF7F6"/>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Hipótese e ciclo de decisão</w:t>
            </w:r>
          </w:p>
        </w:tc>
        <w:tc>
          <w:tcPr>
            <w:tcW w:type="dxa" w:w="4723"/>
            <w:shd w:fill="EAF7F6"/>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achado evidências limitações ação métrica alvo prazo confiança decisão e resultado</w:t>
            </w:r>
          </w:p>
        </w:tc>
      </w:tr>
    </w:tbl>
    <w:p>
      <w:pPr>
        <w:spacing w:after="0"/>
      </w:pPr>
    </w:p>
    <w:p>
      <w:pPr>
        <w:pStyle w:val="Heading2"/>
        <w:keepNext/>
        <w:keepLines/>
        <w:spacing w:before="160" w:after="80"/>
      </w:pPr>
      <w:r>
        <w:rPr>
          <w:rFonts w:ascii="Arial" w:hAnsi="Arial" w:eastAsia="Arial"/>
          <w:b/>
          <w:color w:val="000000"/>
          <w:sz w:val="25"/>
        </w:rPr>
        <w:t>Fluxo de coleta</w:t>
      </w:r>
    </w:p>
    <w:p>
      <w:pPr>
        <w:pStyle w:val="ListNumber"/>
        <w:spacing w:after="80" w:line="259" w:lineRule="auto"/>
        <w:ind w:left="360" w:hanging="230"/>
      </w:pPr>
      <w:r>
        <w:rPr>
          <w:rFonts w:ascii="Arial" w:hAnsi="Arial" w:eastAsia="Arial"/>
          <w:color w:val="061820"/>
          <w:sz w:val="20"/>
        </w:rPr>
        <w:t>Listar mídias novas e atualizadas com busca incremental e janela de segurança para atrasos da API.</w:t>
      </w:r>
    </w:p>
    <w:p>
      <w:pPr>
        <w:pStyle w:val="ListNumber"/>
        <w:spacing w:after="80" w:line="259" w:lineRule="auto"/>
        <w:ind w:left="360" w:hanging="230"/>
      </w:pPr>
      <w:r>
        <w:rPr>
          <w:rFonts w:ascii="Arial" w:hAnsi="Arial" w:eastAsia="Arial"/>
          <w:color w:val="061820"/>
          <w:sz w:val="20"/>
        </w:rPr>
        <w:t>Escolher o conjunto de métricas compatível com o tipo de mídia e a versão da Graph API.</w:t>
      </w:r>
    </w:p>
    <w:p>
      <w:pPr>
        <w:pStyle w:val="ListNumber"/>
        <w:spacing w:after="80" w:line="259" w:lineRule="auto"/>
        <w:ind w:left="360" w:hanging="230"/>
      </w:pPr>
      <w:r>
        <w:rPr>
          <w:rFonts w:ascii="Arial" w:hAnsi="Arial" w:eastAsia="Arial"/>
          <w:color w:val="061820"/>
          <w:sz w:val="20"/>
        </w:rPr>
        <w:t>Consultar insights por mídia e insights diários da conta com tratamento de métricas não suportadas.</w:t>
      </w:r>
    </w:p>
    <w:p>
      <w:pPr>
        <w:pStyle w:val="ListNumber"/>
        <w:spacing w:after="80" w:line="259" w:lineRule="auto"/>
        <w:ind w:left="360" w:hanging="230"/>
      </w:pPr>
      <w:r>
        <w:rPr>
          <w:rFonts w:ascii="Arial" w:hAnsi="Arial" w:eastAsia="Arial"/>
          <w:color w:val="061820"/>
          <w:sz w:val="20"/>
        </w:rPr>
        <w:t>Normalizar valores sem converter ausência em zero e guardar a resposta bruta para auditoria.</w:t>
      </w:r>
    </w:p>
    <w:p>
      <w:pPr>
        <w:pStyle w:val="ListNumber"/>
        <w:spacing w:after="80" w:line="259" w:lineRule="auto"/>
        <w:ind w:left="360" w:hanging="230"/>
      </w:pPr>
      <w:r>
        <w:rPr>
          <w:rFonts w:ascii="Arial" w:hAnsi="Arial" w:eastAsia="Arial"/>
          <w:color w:val="061820"/>
          <w:sz w:val="20"/>
        </w:rPr>
        <w:t>Validar duplicidade monotonicidade quando aplicável fuso horário e cobertura antes de publicar o snapshot.</w:t>
      </w:r>
    </w:p>
    <w:p>
      <w:pPr>
        <w:pStyle w:val="ListNumber"/>
        <w:spacing w:after="80" w:line="259" w:lineRule="auto"/>
        <w:ind w:left="360" w:hanging="230"/>
      </w:pPr>
      <w:r>
        <w:rPr>
          <w:rFonts w:ascii="Arial" w:hAnsi="Arial" w:eastAsia="Arial"/>
          <w:color w:val="061820"/>
          <w:sz w:val="20"/>
        </w:rPr>
        <w:t>Atualizar visões derivadas de último valor deltas e coortes usadas pelo relatório e pelo pacote de evidências da IA.</w:t>
      </w:r>
    </w:p>
    <w:p>
      <w:pPr>
        <w:pStyle w:val="Heading2"/>
        <w:keepNext/>
        <w:keepLines/>
        <w:spacing w:before="160" w:after="80"/>
      </w:pPr>
      <w:r>
        <w:rPr>
          <w:rFonts w:ascii="Arial" w:hAnsi="Arial" w:eastAsia="Arial"/>
          <w:b/>
          <w:color w:val="000000"/>
          <w:sz w:val="25"/>
        </w:rPr>
        <w:t>Política de atualização</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304"/>
            <w:shd w:fill="0D6F6A"/>
            <w:tcMar>
              <w:top w:w="105" w:type="dxa"/>
              <w:start w:w="110" w:type="dxa"/>
              <w:bottom w:w="10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center"/>
            </w:pPr>
            <w:r>
              <w:rPr>
                <w:rFonts w:ascii="Arial" w:hAnsi="Arial" w:eastAsia="Arial"/>
                <w:b/>
                <w:color w:val="FFFFFF"/>
                <w:sz w:val="18"/>
              </w:rPr>
              <w:t>Janela do conteúdo</w:t>
            </w:r>
          </w:p>
        </w:tc>
        <w:tc>
          <w:tcPr>
            <w:tcW w:type="dxa" w:w="2419"/>
            <w:shd w:fill="0D6F6A"/>
            <w:tcMar>
              <w:top w:w="105" w:type="dxa"/>
              <w:start w:w="110" w:type="dxa"/>
              <w:bottom w:w="10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Pr>
                <w:rFonts w:ascii="Arial" w:hAnsi="Arial" w:eastAsia="Arial"/>
                <w:b/>
                <w:color w:val="FFFFFF"/>
                <w:sz w:val="18"/>
              </w:rPr>
              <w:t>Frequência sugerida</w:t>
            </w:r>
          </w:p>
        </w:tc>
        <w:tc>
          <w:tcPr>
            <w:tcW w:type="dxa" w:w="4997"/>
            <w:shd w:fill="0D6F6A"/>
            <w:tcMar>
              <w:top w:w="105" w:type="dxa"/>
              <w:start w:w="110" w:type="dxa"/>
              <w:bottom w:w="10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Pr>
                <w:rFonts w:ascii="Arial" w:hAnsi="Arial" w:eastAsia="Arial"/>
                <w:b/>
                <w:color w:val="FFFFFF"/>
                <w:sz w:val="18"/>
              </w:rPr>
              <w:t>Finalidade</w:t>
            </w:r>
          </w:p>
        </w:tc>
      </w:tr>
      <w:tr>
        <w:trPr>
          <w:cantSplit/>
        </w:trPr>
        <w:tc>
          <w:tcPr>
            <w:tcW w:type="dxa" w:w="2304"/>
            <w:shd w:fill="EEF4F7"/>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center"/>
            </w:pPr>
            <w:r>
              <w:rPr>
                <w:rFonts w:ascii="Arial" w:hAnsi="Arial" w:eastAsia="Arial"/>
                <w:b/>
                <w:color w:val="061820"/>
                <w:sz w:val="17"/>
              </w:rPr>
              <w:t>Primeiras 24 horas</w:t>
            </w:r>
          </w:p>
        </w:tc>
        <w:tc>
          <w:tcPr>
            <w:tcW w:type="dxa" w:w="2419"/>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A cada 3 a 6 horas</w:t>
            </w:r>
          </w:p>
        </w:tc>
        <w:tc>
          <w:tcPr>
            <w:tcW w:type="dxa" w:w="4997"/>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Capturar velocidade inicial sem sobrecarregar a API</w:t>
            </w:r>
          </w:p>
        </w:tc>
      </w:tr>
      <w:tr>
        <w:trPr>
          <w:cantSplit/>
        </w:trPr>
        <w:tc>
          <w:tcPr>
            <w:tcW w:type="dxa" w:w="2304"/>
            <w:shd w:fill="EEF4F7"/>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center"/>
            </w:pPr>
            <w:r>
              <w:rPr>
                <w:rFonts w:ascii="Arial" w:hAnsi="Arial" w:eastAsia="Arial"/>
                <w:b/>
                <w:color w:val="061820"/>
                <w:sz w:val="17"/>
              </w:rPr>
              <w:t>Dias 2 a 7</w:t>
            </w:r>
          </w:p>
        </w:tc>
        <w:tc>
          <w:tcPr>
            <w:tcW w:type="dxa" w:w="2419"/>
            <w:shd w:fill="EAF7F6"/>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Uma vez por dia</w:t>
            </w:r>
          </w:p>
        </w:tc>
        <w:tc>
          <w:tcPr>
            <w:tcW w:type="dxa" w:w="4997"/>
            <w:shd w:fill="EAF7F6"/>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Comparar D3 e D7 entre conteúdos</w:t>
            </w:r>
          </w:p>
        </w:tc>
      </w:tr>
      <w:tr>
        <w:trPr>
          <w:cantSplit/>
        </w:trPr>
        <w:tc>
          <w:tcPr>
            <w:tcW w:type="dxa" w:w="2304"/>
            <w:shd w:fill="EEF4F7"/>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center"/>
            </w:pPr>
            <w:r>
              <w:rPr>
                <w:rFonts w:ascii="Arial" w:hAnsi="Arial" w:eastAsia="Arial"/>
                <w:b/>
                <w:color w:val="061820"/>
                <w:sz w:val="17"/>
              </w:rPr>
              <w:t>Dias 8 a 30</w:t>
            </w:r>
          </w:p>
        </w:tc>
        <w:tc>
          <w:tcPr>
            <w:tcW w:type="dxa" w:w="2419"/>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Duas vezes por semana</w:t>
            </w:r>
          </w:p>
        </w:tc>
        <w:tc>
          <w:tcPr>
            <w:tcW w:type="dxa" w:w="4997"/>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Capturar cauda de distribuição</w:t>
            </w:r>
          </w:p>
        </w:tc>
      </w:tr>
      <w:tr>
        <w:trPr>
          <w:cantSplit/>
        </w:trPr>
        <w:tc>
          <w:tcPr>
            <w:tcW w:type="dxa" w:w="2304"/>
            <w:shd w:fill="EEF4F7"/>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center"/>
            </w:pPr>
            <w:r>
              <w:rPr>
                <w:rFonts w:ascii="Arial" w:hAnsi="Arial" w:eastAsia="Arial"/>
                <w:b/>
                <w:color w:val="061820"/>
                <w:sz w:val="17"/>
              </w:rPr>
              <w:t>Após 30 dias</w:t>
            </w:r>
          </w:p>
        </w:tc>
        <w:tc>
          <w:tcPr>
            <w:tcW w:type="dxa" w:w="2419"/>
            <w:shd w:fill="EAF7F6"/>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Sob demanda ou semanal</w:t>
            </w:r>
          </w:p>
        </w:tc>
        <w:tc>
          <w:tcPr>
            <w:tcW w:type="dxa" w:w="4997"/>
            <w:shd w:fill="EAF7F6"/>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Preservar histórico com custo controlado</w:t>
            </w:r>
          </w:p>
        </w:tc>
      </w:tr>
      <w:tr>
        <w:trPr>
          <w:cantSplit/>
        </w:trPr>
        <w:tc>
          <w:tcPr>
            <w:tcW w:type="dxa" w:w="2304"/>
            <w:shd w:fill="EEF4F7"/>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center"/>
            </w:pPr>
            <w:r>
              <w:rPr>
                <w:rFonts w:ascii="Arial" w:hAnsi="Arial" w:eastAsia="Arial"/>
                <w:b/>
                <w:color w:val="061820"/>
                <w:sz w:val="17"/>
              </w:rPr>
              <w:t>Conta</w:t>
            </w:r>
          </w:p>
        </w:tc>
        <w:tc>
          <w:tcPr>
            <w:tcW w:type="dxa" w:w="2419"/>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Uma vez por dia</w:t>
            </w:r>
          </w:p>
        </w:tc>
        <w:tc>
          <w:tcPr>
            <w:tcW w:type="dxa" w:w="4997"/>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Formar série de alcance visualizações ações e seguidores</w:t>
            </w:r>
          </w:p>
        </w:tc>
      </w:tr>
    </w:tbl>
    <w:p>
      <w:pPr>
        <w:spacing w:after="0"/>
      </w:pPr>
    </w:p>
    <w:p>
      <w:pPr>
        <w:widowControl/>
        <w:spacing w:after="140" w:line="264" w:lineRule="auto"/>
      </w:pPr>
      <w:r>
        <w:rPr>
          <w:rFonts w:ascii="Arial" w:hAnsi="Arial" w:eastAsia="Arial"/>
          <w:color w:val="061820"/>
          <w:sz w:val="21"/>
        </w:rPr>
        <w:t>O cursor salvo deve ser realmente retomado. Também é necessário impedir duas importações concorrentes do mesmo workspace e distinguir coleta parcial de coleta concluída. O relatório só deve usar uma execução parcial se a cobertura e a limitação estiverem visíveis.</w:t>
      </w:r>
    </w:p>
    <w:p>
      <w:pPr>
        <w:pStyle w:val="Heading1"/>
        <w:keepNext/>
        <w:keepLines/>
        <w:pageBreakBefore/>
        <w:spacing w:before="240" w:after="120"/>
      </w:pPr>
      <w:r>
        <w:rPr>
          <w:rFonts w:ascii="Arial" w:hAnsi="Arial" w:eastAsia="Arial"/>
          <w:b/>
          <w:color w:val="000000"/>
          <w:sz w:val="34"/>
        </w:rPr>
        <w:t>Relatório semanal orientado a decisões</w:t>
      </w:r>
    </w:p>
    <w:p>
      <w:pPr>
        <w:widowControl/>
        <w:spacing w:after="140" w:line="264" w:lineRule="auto"/>
      </w:pPr>
      <w:r>
        <w:rPr>
          <w:rFonts w:ascii="Arial" w:hAnsi="Arial" w:eastAsia="Arial"/>
          <w:color w:val="061820"/>
          <w:sz w:val="21"/>
        </w:rPr>
        <w:t>A página inicial deve começar pela decisão, não pela lista de posts. Cada bloco precisa responder uma pergunta e indicar a base de comparação. A ordem abaixo atende uma leitura executiva e permite aprofundamento sem perder a rastreabilidade.</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800"/>
            <w:shd w:fill="0D6F6A"/>
            <w:tcMar>
              <w:top w:w="105" w:type="dxa"/>
              <w:start w:w="110" w:type="dxa"/>
              <w:bottom w:w="10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center"/>
            </w:pPr>
            <w:r>
              <w:rPr>
                <w:rFonts w:ascii="Arial" w:hAnsi="Arial" w:eastAsia="Arial"/>
                <w:b/>
                <w:color w:val="FFFFFF"/>
                <w:sz w:val="18"/>
              </w:rPr>
              <w:t>Bloco</w:t>
            </w:r>
          </w:p>
        </w:tc>
        <w:tc>
          <w:tcPr>
            <w:tcW w:type="dxa" w:w="2477"/>
            <w:shd w:fill="0D6F6A"/>
            <w:tcMar>
              <w:top w:w="105" w:type="dxa"/>
              <w:start w:w="110" w:type="dxa"/>
              <w:bottom w:w="10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Pr>
                <w:rFonts w:ascii="Arial" w:hAnsi="Arial" w:eastAsia="Arial"/>
                <w:b/>
                <w:color w:val="FFFFFF"/>
                <w:sz w:val="18"/>
              </w:rPr>
              <w:t>Pergunta</w:t>
            </w:r>
          </w:p>
        </w:tc>
        <w:tc>
          <w:tcPr>
            <w:tcW w:type="dxa" w:w="5443"/>
            <w:shd w:fill="0D6F6A"/>
            <w:tcMar>
              <w:top w:w="105" w:type="dxa"/>
              <w:start w:w="110" w:type="dxa"/>
              <w:bottom w:w="10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Pr>
                <w:rFonts w:ascii="Arial" w:hAnsi="Arial" w:eastAsia="Arial"/>
                <w:b/>
                <w:color w:val="FFFFFF"/>
                <w:sz w:val="18"/>
              </w:rPr>
              <w:t>Conteúdo</w:t>
            </w:r>
          </w:p>
        </w:tc>
      </w:tr>
      <w:tr>
        <w:trPr>
          <w:cantSplit/>
        </w:trPr>
        <w:tc>
          <w:tcPr>
            <w:tcW w:type="dxa" w:w="1800"/>
            <w:shd w:fill="EEF4F7"/>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center"/>
            </w:pPr>
            <w:r>
              <w:rPr>
                <w:rFonts w:ascii="Arial" w:hAnsi="Arial" w:eastAsia="Arial"/>
                <w:b/>
                <w:color w:val="061820"/>
                <w:sz w:val="17"/>
              </w:rPr>
              <w:t>Qualidade dos dados</w:t>
            </w:r>
          </w:p>
        </w:tc>
        <w:tc>
          <w:tcPr>
            <w:tcW w:type="dxa" w:w="2477"/>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Posso confiar neste período</w:t>
            </w:r>
          </w:p>
        </w:tc>
        <w:tc>
          <w:tcPr>
            <w:tcW w:type="dxa" w:w="5443"/>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Última coleta cobertura falhas métricas indisponíveis e versão da API</w:t>
            </w:r>
          </w:p>
        </w:tc>
      </w:tr>
      <w:tr>
        <w:trPr>
          <w:cantSplit/>
        </w:trPr>
        <w:tc>
          <w:tcPr>
            <w:tcW w:type="dxa" w:w="1800"/>
            <w:shd w:fill="EEF4F7"/>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center"/>
            </w:pPr>
            <w:r>
              <w:rPr>
                <w:rFonts w:ascii="Arial" w:hAnsi="Arial" w:eastAsia="Arial"/>
                <w:b/>
                <w:color w:val="061820"/>
                <w:sz w:val="17"/>
              </w:rPr>
              <w:t>Resumo do período</w:t>
            </w:r>
          </w:p>
        </w:tc>
        <w:tc>
          <w:tcPr>
            <w:tcW w:type="dxa" w:w="2477"/>
            <w:shd w:fill="EAF7F6"/>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O que mudou</w:t>
            </w:r>
          </w:p>
        </w:tc>
        <w:tc>
          <w:tcPr>
            <w:tcW w:type="dxa" w:w="5443"/>
            <w:shd w:fill="EAF7F6"/>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Visualizações alcance frequência interações taxa por alcance e saldo de seguidores</w:t>
            </w:r>
          </w:p>
        </w:tc>
      </w:tr>
      <w:tr>
        <w:trPr>
          <w:cantSplit/>
        </w:trPr>
        <w:tc>
          <w:tcPr>
            <w:tcW w:type="dxa" w:w="1800"/>
            <w:shd w:fill="EEF4F7"/>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center"/>
            </w:pPr>
            <w:r>
              <w:rPr>
                <w:rFonts w:ascii="Arial" w:hAnsi="Arial" w:eastAsia="Arial"/>
                <w:b/>
                <w:color w:val="061820"/>
                <w:sz w:val="17"/>
              </w:rPr>
              <w:t>Comparação</w:t>
            </w:r>
          </w:p>
        </w:tc>
        <w:tc>
          <w:tcPr>
            <w:tcW w:type="dxa" w:w="2477"/>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A mudança é relevante</w:t>
            </w:r>
          </w:p>
        </w:tc>
        <w:tc>
          <w:tcPr>
            <w:tcW w:type="dxa" w:w="5443"/>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Valor atual valor anterior diferença absoluta diferença percentual e mediana de quatro semanas</w:t>
            </w:r>
          </w:p>
        </w:tc>
      </w:tr>
      <w:tr>
        <w:trPr>
          <w:cantSplit/>
        </w:trPr>
        <w:tc>
          <w:tcPr>
            <w:tcW w:type="dxa" w:w="1800"/>
            <w:shd w:fill="EEF4F7"/>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center"/>
            </w:pPr>
            <w:r>
              <w:rPr>
                <w:rFonts w:ascii="Arial" w:hAnsi="Arial" w:eastAsia="Arial"/>
                <w:b/>
                <w:color w:val="061820"/>
                <w:sz w:val="17"/>
              </w:rPr>
              <w:t>Conteúdos que explicam</w:t>
            </w:r>
          </w:p>
        </w:tc>
        <w:tc>
          <w:tcPr>
            <w:tcW w:type="dxa" w:w="2477"/>
            <w:shd w:fill="EAF7F6"/>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Quais posts puxaram o resultado</w:t>
            </w:r>
          </w:p>
        </w:tc>
        <w:tc>
          <w:tcPr>
            <w:tcW w:type="dxa" w:w="5443"/>
            <w:shd w:fill="EAF7F6"/>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Top e oportunidades por objetivo com idade e alcance normalizados</w:t>
            </w:r>
          </w:p>
        </w:tc>
      </w:tr>
      <w:tr>
        <w:trPr>
          <w:cantSplit/>
        </w:trPr>
        <w:tc>
          <w:tcPr>
            <w:tcW w:type="dxa" w:w="1800"/>
            <w:shd w:fill="EEF4F7"/>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center"/>
            </w:pPr>
            <w:r>
              <w:rPr>
                <w:rFonts w:ascii="Arial" w:hAnsi="Arial" w:eastAsia="Arial"/>
                <w:b/>
                <w:color w:val="061820"/>
                <w:sz w:val="17"/>
              </w:rPr>
              <w:t>Padrões editoriais</w:t>
            </w:r>
          </w:p>
        </w:tc>
        <w:tc>
          <w:tcPr>
            <w:tcW w:type="dxa" w:w="2477"/>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Quais formatos e temas merecem teste</w:t>
            </w:r>
          </w:p>
        </w:tc>
        <w:tc>
          <w:tcPr>
            <w:tcW w:type="dxa" w:w="5443"/>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Mediana por formato pilar objetivo CTA e janela de maturidade</w:t>
            </w:r>
          </w:p>
        </w:tc>
      </w:tr>
      <w:tr>
        <w:trPr>
          <w:cantSplit/>
        </w:trPr>
        <w:tc>
          <w:tcPr>
            <w:tcW w:type="dxa" w:w="1800"/>
            <w:shd w:fill="EEF4F7"/>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center"/>
            </w:pPr>
            <w:r>
              <w:rPr>
                <w:rFonts w:ascii="Arial" w:hAnsi="Arial" w:eastAsia="Arial"/>
                <w:b/>
                <w:color w:val="061820"/>
                <w:sz w:val="17"/>
              </w:rPr>
              <w:t>Voz do público</w:t>
            </w:r>
          </w:p>
        </w:tc>
        <w:tc>
          <w:tcPr>
            <w:tcW w:type="dxa" w:w="2477"/>
            <w:shd w:fill="EAF7F6"/>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Quais necessidades aparecem</w:t>
            </w:r>
          </w:p>
        </w:tc>
        <w:tc>
          <w:tcPr>
            <w:tcW w:type="dxa" w:w="5443"/>
            <w:shd w:fill="EAF7F6"/>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Distribuição e variação de dúvidas elogios reclamações intenção de compra e suporte</w:t>
            </w:r>
          </w:p>
        </w:tc>
      </w:tr>
      <w:tr>
        <w:trPr>
          <w:cantSplit/>
        </w:trPr>
        <w:tc>
          <w:tcPr>
            <w:tcW w:type="dxa" w:w="1800"/>
            <w:shd w:fill="EEF4F7"/>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center"/>
            </w:pPr>
            <w:r>
              <w:rPr>
                <w:rFonts w:ascii="Arial" w:hAnsi="Arial" w:eastAsia="Arial"/>
                <w:b/>
                <w:color w:val="061820"/>
                <w:sz w:val="17"/>
              </w:rPr>
              <w:t>Contexto</w:t>
            </w:r>
          </w:p>
        </w:tc>
        <w:tc>
          <w:tcPr>
            <w:tcW w:type="dxa" w:w="2477"/>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Que eventos coincidiram com a mudança</w:t>
            </w:r>
          </w:p>
        </w:tc>
        <w:tc>
          <w:tcPr>
            <w:tcW w:type="dxa" w:w="5443"/>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Notas próximas no tempo com linguagem de associação e limitação</w:t>
            </w:r>
          </w:p>
        </w:tc>
      </w:tr>
      <w:tr>
        <w:trPr>
          <w:cantSplit/>
        </w:trPr>
        <w:tc>
          <w:tcPr>
            <w:tcW w:type="dxa" w:w="1800"/>
            <w:shd w:fill="EEF4F7"/>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center"/>
            </w:pPr>
            <w:r>
              <w:rPr>
                <w:rFonts w:ascii="Arial" w:hAnsi="Arial" w:eastAsia="Arial"/>
                <w:b/>
                <w:color w:val="061820"/>
                <w:sz w:val="17"/>
              </w:rPr>
              <w:t>Próxima ação</w:t>
            </w:r>
          </w:p>
        </w:tc>
        <w:tc>
          <w:tcPr>
            <w:tcW w:type="dxa" w:w="2477"/>
            <w:shd w:fill="EAF7F6"/>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O que fazer e medir</w:t>
            </w:r>
          </w:p>
        </w:tc>
        <w:tc>
          <w:tcPr>
            <w:tcW w:type="dxa" w:w="5443"/>
            <w:shd w:fill="EAF7F6"/>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Uma ação com dono hipótese métrica alvo prazo e critério de sucesso</w:t>
            </w:r>
          </w:p>
        </w:tc>
      </w:tr>
    </w:tbl>
    <w:p>
      <w:pPr>
        <w:spacing w:after="0"/>
      </w:pPr>
    </w:p>
    <w:p>
      <w:pPr>
        <w:pStyle w:val="Heading2"/>
        <w:keepNext/>
        <w:keepLines/>
        <w:spacing w:before="160" w:after="80"/>
      </w:pPr>
      <w:r>
        <w:rPr>
          <w:rFonts w:ascii="Arial" w:hAnsi="Arial" w:eastAsia="Arial"/>
          <w:b/>
          <w:color w:val="000000"/>
          <w:sz w:val="25"/>
        </w:rPr>
        <w:t>Indicadores do topo</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304"/>
            <w:shd w:fill="0D6F6A"/>
            <w:tcMar>
              <w:top w:w="105" w:type="dxa"/>
              <w:start w:w="110" w:type="dxa"/>
              <w:bottom w:w="10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center"/>
            </w:pPr>
            <w:r>
              <w:rPr>
                <w:rFonts w:ascii="Arial" w:hAnsi="Arial" w:eastAsia="Arial"/>
                <w:b/>
                <w:color w:val="FFFFFF"/>
                <w:sz w:val="18"/>
              </w:rPr>
              <w:t>Indicador</w:t>
            </w:r>
          </w:p>
        </w:tc>
        <w:tc>
          <w:tcPr>
            <w:tcW w:type="dxa" w:w="3816"/>
            <w:shd w:fill="0D6F6A"/>
            <w:tcMar>
              <w:top w:w="105" w:type="dxa"/>
              <w:start w:w="110" w:type="dxa"/>
              <w:bottom w:w="10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Pr>
                <w:rFonts w:ascii="Arial" w:hAnsi="Arial" w:eastAsia="Arial"/>
                <w:b/>
                <w:color w:val="FFFFFF"/>
                <w:sz w:val="18"/>
              </w:rPr>
              <w:t>Comparação</w:t>
            </w:r>
          </w:p>
        </w:tc>
        <w:tc>
          <w:tcPr>
            <w:tcW w:type="dxa" w:w="3600"/>
            <w:shd w:fill="0D6F6A"/>
            <w:tcMar>
              <w:top w:w="105" w:type="dxa"/>
              <w:start w:w="110" w:type="dxa"/>
              <w:bottom w:w="10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Pr>
                <w:rFonts w:ascii="Arial" w:hAnsi="Arial" w:eastAsia="Arial"/>
                <w:b/>
                <w:color w:val="FFFFFF"/>
                <w:sz w:val="18"/>
              </w:rPr>
              <w:t>Leitura</w:t>
            </w:r>
          </w:p>
        </w:tc>
      </w:tr>
      <w:tr>
        <w:trPr>
          <w:cantSplit/>
        </w:trPr>
        <w:tc>
          <w:tcPr>
            <w:tcW w:type="dxa" w:w="2304"/>
            <w:shd w:fill="EEF4F7"/>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center"/>
            </w:pPr>
            <w:r>
              <w:rPr>
                <w:rFonts w:ascii="Arial" w:hAnsi="Arial" w:eastAsia="Arial"/>
                <w:b/>
                <w:color w:val="061820"/>
                <w:sz w:val="17"/>
              </w:rPr>
              <w:t>Visualizações da conta</w:t>
            </w:r>
          </w:p>
        </w:tc>
        <w:tc>
          <w:tcPr>
            <w:tcW w:type="dxa" w:w="3816"/>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Sete dias anteriores e mediana de quatro semanas</w:t>
            </w:r>
          </w:p>
        </w:tc>
        <w:tc>
          <w:tcPr>
            <w:tcW w:type="dxa" w:w="3600"/>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Volume total de consumo</w:t>
            </w:r>
          </w:p>
        </w:tc>
      </w:tr>
      <w:tr>
        <w:trPr>
          <w:cantSplit/>
        </w:trPr>
        <w:tc>
          <w:tcPr>
            <w:tcW w:type="dxa" w:w="2304"/>
            <w:shd w:fill="EEF4F7"/>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center"/>
            </w:pPr>
            <w:r>
              <w:rPr>
                <w:rFonts w:ascii="Arial" w:hAnsi="Arial" w:eastAsia="Arial"/>
                <w:b/>
                <w:color w:val="061820"/>
                <w:sz w:val="17"/>
              </w:rPr>
              <w:t>Alcance da conta</w:t>
            </w:r>
          </w:p>
        </w:tc>
        <w:tc>
          <w:tcPr>
            <w:tcW w:type="dxa" w:w="3816"/>
            <w:shd w:fill="EAF7F6"/>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Sete dias anteriores</w:t>
            </w:r>
          </w:p>
        </w:tc>
        <w:tc>
          <w:tcPr>
            <w:tcW w:type="dxa" w:w="3600"/>
            <w:shd w:fill="EAF7F6"/>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Expansão de audiência única</w:t>
            </w:r>
          </w:p>
        </w:tc>
      </w:tr>
      <w:tr>
        <w:trPr>
          <w:cantSplit/>
        </w:trPr>
        <w:tc>
          <w:tcPr>
            <w:tcW w:type="dxa" w:w="2304"/>
            <w:shd w:fill="EEF4F7"/>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center"/>
            </w:pPr>
            <w:r>
              <w:rPr>
                <w:rFonts w:ascii="Arial" w:hAnsi="Arial" w:eastAsia="Arial"/>
                <w:b/>
                <w:color w:val="061820"/>
                <w:sz w:val="17"/>
              </w:rPr>
              <w:t>Frequência</w:t>
            </w:r>
          </w:p>
        </w:tc>
        <w:tc>
          <w:tcPr>
            <w:tcW w:type="dxa" w:w="3816"/>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Sete dias anteriores</w:t>
            </w:r>
          </w:p>
        </w:tc>
        <w:tc>
          <w:tcPr>
            <w:tcW w:type="dxa" w:w="3600"/>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Repetição de exposição</w:t>
            </w:r>
          </w:p>
        </w:tc>
      </w:tr>
      <w:tr>
        <w:trPr>
          <w:cantSplit/>
        </w:trPr>
        <w:tc>
          <w:tcPr>
            <w:tcW w:type="dxa" w:w="2304"/>
            <w:shd w:fill="EEF4F7"/>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center"/>
            </w:pPr>
            <w:r>
              <w:rPr>
                <w:rFonts w:ascii="Arial" w:hAnsi="Arial" w:eastAsia="Arial"/>
                <w:b/>
                <w:color w:val="061820"/>
                <w:sz w:val="17"/>
              </w:rPr>
              <w:t>Interações por alcance</w:t>
            </w:r>
          </w:p>
        </w:tc>
        <w:tc>
          <w:tcPr>
            <w:tcW w:type="dxa" w:w="3816"/>
            <w:shd w:fill="EAF7F6"/>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Sete dias anteriores e por formato</w:t>
            </w:r>
          </w:p>
        </w:tc>
        <w:tc>
          <w:tcPr>
            <w:tcW w:type="dxa" w:w="3600"/>
            <w:shd w:fill="EAF7F6"/>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Capacidade de converter exposição em ação</w:t>
            </w:r>
          </w:p>
        </w:tc>
      </w:tr>
      <w:tr>
        <w:trPr>
          <w:cantSplit/>
        </w:trPr>
        <w:tc>
          <w:tcPr>
            <w:tcW w:type="dxa" w:w="2304"/>
            <w:shd w:fill="EEF4F7"/>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center"/>
            </w:pPr>
            <w:r>
              <w:rPr>
                <w:rFonts w:ascii="Arial" w:hAnsi="Arial" w:eastAsia="Arial"/>
                <w:b/>
                <w:color w:val="061820"/>
                <w:sz w:val="17"/>
              </w:rPr>
              <w:t>Compartilhamentos por alcance</w:t>
            </w:r>
          </w:p>
        </w:tc>
        <w:tc>
          <w:tcPr>
            <w:tcW w:type="dxa" w:w="3816"/>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Por formato e pilar</w:t>
            </w:r>
          </w:p>
        </w:tc>
        <w:tc>
          <w:tcPr>
            <w:tcW w:type="dxa" w:w="3600"/>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Propagação</w:t>
            </w:r>
          </w:p>
        </w:tc>
      </w:tr>
      <w:tr>
        <w:trPr>
          <w:cantSplit/>
        </w:trPr>
        <w:tc>
          <w:tcPr>
            <w:tcW w:type="dxa" w:w="2304"/>
            <w:shd w:fill="EEF4F7"/>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center"/>
            </w:pPr>
            <w:r>
              <w:rPr>
                <w:rFonts w:ascii="Arial" w:hAnsi="Arial" w:eastAsia="Arial"/>
                <w:b/>
                <w:color w:val="061820"/>
                <w:sz w:val="17"/>
              </w:rPr>
              <w:t>Salvamentos por alcance</w:t>
            </w:r>
          </w:p>
        </w:tc>
        <w:tc>
          <w:tcPr>
            <w:tcW w:type="dxa" w:w="3816"/>
            <w:shd w:fill="EAF7F6"/>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Por pilar</w:t>
            </w:r>
          </w:p>
        </w:tc>
        <w:tc>
          <w:tcPr>
            <w:tcW w:type="dxa" w:w="3600"/>
            <w:shd w:fill="EAF7F6"/>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Utilidade</w:t>
            </w:r>
          </w:p>
        </w:tc>
      </w:tr>
      <w:tr>
        <w:trPr>
          <w:cantSplit/>
        </w:trPr>
        <w:tc>
          <w:tcPr>
            <w:tcW w:type="dxa" w:w="2304"/>
            <w:shd w:fill="EEF4F7"/>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center"/>
            </w:pPr>
            <w:r>
              <w:rPr>
                <w:rFonts w:ascii="Arial" w:hAnsi="Arial" w:eastAsia="Arial"/>
                <w:b/>
                <w:color w:val="061820"/>
                <w:sz w:val="17"/>
              </w:rPr>
              <w:t>Saldo de seguidores</w:t>
            </w:r>
          </w:p>
        </w:tc>
        <w:tc>
          <w:tcPr>
            <w:tcW w:type="dxa" w:w="3816"/>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Sete dias anteriores</w:t>
            </w:r>
          </w:p>
        </w:tc>
        <w:tc>
          <w:tcPr>
            <w:tcW w:type="dxa" w:w="3600"/>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Aproximação com a conta</w:t>
            </w:r>
          </w:p>
        </w:tc>
      </w:tr>
    </w:tbl>
    <w:p>
      <w:pPr>
        <w:spacing w:after="0"/>
      </w:pPr>
    </w:p>
    <w:p>
      <w:pPr>
        <w:pStyle w:val="Heading2"/>
        <w:keepNext/>
        <w:keepLines/>
        <w:spacing w:before="160" w:after="80"/>
      </w:pPr>
      <w:r>
        <w:rPr>
          <w:rFonts w:ascii="Arial" w:hAnsi="Arial" w:eastAsia="Arial"/>
          <w:b/>
          <w:color w:val="000000"/>
          <w:sz w:val="25"/>
        </w:rPr>
        <w:t>Funil de leitura</w:t>
      </w:r>
    </w:p>
    <w:tbl>
      <w:tblPr>
        <w:tblW w:type="auto" w:w="0"/>
        <w:jc w:val="center"/>
        <w:tblLayout w:type="fixed"/>
        <w:tblLook w:firstColumn="1" w:firstRow="1" w:lastColumn="0" w:lastRow="0" w:noHBand="0" w:noVBand="1" w:val="04A0"/>
      </w:tblPr>
      <w:tblGrid>
        <w:gridCol w:w="1976"/>
        <w:gridCol w:w="1976"/>
        <w:gridCol w:w="1976"/>
        <w:gridCol w:w="1976"/>
        <w:gridCol w:w="1976"/>
      </w:tblGrid>
      <w:tr>
        <w:trPr>
          <w:tblHeader w:val="true"/>
        </w:trPr>
        <w:tc>
          <w:tcPr>
            <w:tcW w:type="dxa" w:w="1944"/>
            <w:shd w:fill="0D6F6A"/>
            <w:tcMar>
              <w:top w:w="105" w:type="dxa"/>
              <w:start w:w="110" w:type="dxa"/>
              <w:bottom w:w="10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center"/>
            </w:pPr>
            <w:r>
              <w:rPr>
                <w:rFonts w:ascii="Arial" w:hAnsi="Arial" w:eastAsia="Arial"/>
                <w:b/>
                <w:color w:val="FFFFFF"/>
                <w:sz w:val="18"/>
              </w:rPr>
              <w:t>Distribuição</w:t>
            </w:r>
          </w:p>
        </w:tc>
        <w:tc>
          <w:tcPr>
            <w:tcW w:type="dxa" w:w="1944"/>
            <w:shd w:fill="0D6F6A"/>
            <w:tcMar>
              <w:top w:w="105" w:type="dxa"/>
              <w:start w:w="110" w:type="dxa"/>
              <w:bottom w:w="10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Pr>
                <w:rFonts w:ascii="Arial" w:hAnsi="Arial" w:eastAsia="Arial"/>
                <w:b/>
                <w:color w:val="FFFFFF"/>
                <w:sz w:val="18"/>
              </w:rPr>
              <w:t>Audiência</w:t>
            </w:r>
          </w:p>
        </w:tc>
        <w:tc>
          <w:tcPr>
            <w:tcW w:type="dxa" w:w="1944"/>
            <w:shd w:fill="0D6F6A"/>
            <w:tcMar>
              <w:top w:w="105" w:type="dxa"/>
              <w:start w:w="110" w:type="dxa"/>
              <w:bottom w:w="10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Pr>
                <w:rFonts w:ascii="Arial" w:hAnsi="Arial" w:eastAsia="Arial"/>
                <w:b/>
                <w:color w:val="FFFFFF"/>
                <w:sz w:val="18"/>
              </w:rPr>
              <w:t>Resposta</w:t>
            </w:r>
          </w:p>
        </w:tc>
        <w:tc>
          <w:tcPr>
            <w:tcW w:type="dxa" w:w="1944"/>
            <w:shd w:fill="0D6F6A"/>
            <w:tcMar>
              <w:top w:w="105" w:type="dxa"/>
              <w:start w:w="110" w:type="dxa"/>
              <w:bottom w:w="10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Pr>
                <w:rFonts w:ascii="Arial" w:hAnsi="Arial" w:eastAsia="Arial"/>
                <w:b/>
                <w:color w:val="FFFFFF"/>
                <w:sz w:val="18"/>
              </w:rPr>
              <w:t>Aproximação</w:t>
            </w:r>
          </w:p>
        </w:tc>
        <w:tc>
          <w:tcPr>
            <w:tcW w:type="dxa" w:w="1944"/>
            <w:shd w:fill="0D6F6A"/>
            <w:tcMar>
              <w:top w:w="105" w:type="dxa"/>
              <w:start w:w="110" w:type="dxa"/>
              <w:bottom w:w="10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Pr>
                <w:rFonts w:ascii="Arial" w:hAnsi="Arial" w:eastAsia="Arial"/>
                <w:b/>
                <w:color w:val="FFFFFF"/>
                <w:sz w:val="18"/>
              </w:rPr>
              <w:t>Retenção</w:t>
            </w:r>
          </w:p>
        </w:tc>
      </w:tr>
      <w:tr>
        <w:trPr>
          <w:cantSplit/>
        </w:trPr>
        <w:tc>
          <w:tcPr>
            <w:tcW w:type="dxa" w:w="1944"/>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center"/>
            </w:pPr>
            <w:r>
              <w:rPr>
                <w:rFonts w:ascii="Arial" w:hAnsi="Arial" w:eastAsia="Arial"/>
                <w:b/>
                <w:color w:val="061820"/>
                <w:sz w:val="17"/>
              </w:rPr>
              <w:t>Visualizações</w:t>
            </w:r>
          </w:p>
        </w:tc>
        <w:tc>
          <w:tcPr>
            <w:tcW w:type="dxa" w:w="1944"/>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center"/>
            </w:pPr>
            <w:r>
              <w:rPr>
                <w:rFonts w:ascii="Arial" w:hAnsi="Arial" w:eastAsia="Arial"/>
                <w:color w:val="061820"/>
                <w:sz w:val="17"/>
              </w:rPr>
              <w:t>Alcance</w:t>
            </w:r>
          </w:p>
        </w:tc>
        <w:tc>
          <w:tcPr>
            <w:tcW w:type="dxa" w:w="1944"/>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center"/>
            </w:pPr>
            <w:r>
              <w:rPr>
                <w:rFonts w:ascii="Arial" w:hAnsi="Arial" w:eastAsia="Arial"/>
                <w:color w:val="061820"/>
                <w:sz w:val="17"/>
              </w:rPr>
              <w:t>Interações</w:t>
            </w:r>
          </w:p>
        </w:tc>
        <w:tc>
          <w:tcPr>
            <w:tcW w:type="dxa" w:w="1944"/>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center"/>
            </w:pPr>
            <w:r>
              <w:rPr>
                <w:rFonts w:ascii="Arial" w:hAnsi="Arial" w:eastAsia="Arial"/>
                <w:color w:val="061820"/>
                <w:sz w:val="17"/>
              </w:rPr>
              <w:t>Ações de perfil</w:t>
            </w:r>
          </w:p>
        </w:tc>
        <w:tc>
          <w:tcPr>
            <w:tcW w:type="dxa" w:w="1944"/>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center"/>
            </w:pPr>
            <w:r>
              <w:rPr>
                <w:rFonts w:ascii="Arial" w:hAnsi="Arial" w:eastAsia="Arial"/>
                <w:color w:val="061820"/>
                <w:sz w:val="17"/>
              </w:rPr>
              <w:t>Seguidores</w:t>
            </w:r>
          </w:p>
        </w:tc>
      </w:tr>
    </w:tbl>
    <w:p>
      <w:pPr>
        <w:spacing w:after="0"/>
      </w:pPr>
    </w:p>
    <w:p>
      <w:pPr>
        <w:widowControl/>
        <w:spacing w:after="140" w:line="264" w:lineRule="auto"/>
      </w:pPr>
      <w:r>
        <w:rPr>
          <w:rFonts w:ascii="Arial" w:hAnsi="Arial" w:eastAsia="Arial"/>
          <w:color w:val="061820"/>
          <w:sz w:val="21"/>
        </w:rPr>
        <w:t>Esse funil é diagnóstico e não deve ser apresentado como atribuição causal. Um aumento de seguidores pode coincidir com conteúdos campanhas mídia paga ou eventos externos. O relatório deve mostrar a proximidade temporal e manter a limitação explícita.</w:t>
      </w:r>
    </w:p>
    <w:p>
      <w:pPr>
        <w:pStyle w:val="Heading2"/>
        <w:keepNext/>
        <w:keepLines/>
        <w:spacing w:before="160" w:after="80"/>
      </w:pPr>
      <w:r>
        <w:rPr>
          <w:rFonts w:ascii="Arial" w:hAnsi="Arial" w:eastAsia="Arial"/>
          <w:b/>
          <w:color w:val="000000"/>
          <w:sz w:val="25"/>
        </w:rPr>
        <w:t>Ranking de conteúdo</w:t>
      </w:r>
    </w:p>
    <w:p>
      <w:pPr>
        <w:pStyle w:val="ListBullet"/>
        <w:keepNext w:val="0"/>
        <w:keepLines/>
        <w:spacing w:after="70" w:line="259" w:lineRule="auto"/>
        <w:ind w:left="317" w:hanging="202"/>
      </w:pPr>
      <w:r>
        <w:rPr>
          <w:rFonts w:ascii="Arial" w:hAnsi="Arial" w:eastAsia="Arial"/>
          <w:color w:val="061820"/>
          <w:sz w:val="20"/>
        </w:rPr>
        <w:t>Separar conteúdos publicados no período de conteúdos antigos que ainda receberam distribuição.</w:t>
      </w:r>
    </w:p>
    <w:p>
      <w:pPr>
        <w:pStyle w:val="ListBullet"/>
        <w:keepNext w:val="0"/>
        <w:keepLines/>
        <w:spacing w:after="70" w:line="259" w:lineRule="auto"/>
        <w:ind w:left="317" w:hanging="202"/>
      </w:pPr>
      <w:r>
        <w:rPr>
          <w:rFonts w:ascii="Arial" w:hAnsi="Arial" w:eastAsia="Arial"/>
          <w:color w:val="061820"/>
          <w:sz w:val="20"/>
        </w:rPr>
        <w:t>Exibir idade do post e comparar valores D7 sempre que possível.</w:t>
      </w:r>
    </w:p>
    <w:p>
      <w:pPr>
        <w:pStyle w:val="ListBullet"/>
        <w:keepNext w:val="0"/>
        <w:keepLines/>
        <w:spacing w:after="70" w:line="259" w:lineRule="auto"/>
        <w:ind w:left="317" w:hanging="202"/>
      </w:pPr>
      <w:r>
        <w:rPr>
          <w:rFonts w:ascii="Arial" w:hAnsi="Arial" w:eastAsia="Arial"/>
          <w:color w:val="061820"/>
          <w:sz w:val="20"/>
        </w:rPr>
        <w:t>Escolher a métrica principal conforme o objetivo do briefing como alcance compartilhamentos salvamentos ou ação de perfil.</w:t>
      </w:r>
    </w:p>
    <w:p>
      <w:pPr>
        <w:pStyle w:val="ListBullet"/>
        <w:keepNext w:val="0"/>
        <w:keepLines/>
        <w:spacing w:after="70" w:line="259" w:lineRule="auto"/>
        <w:ind w:left="317" w:hanging="202"/>
      </w:pPr>
      <w:r>
        <w:rPr>
          <w:rFonts w:ascii="Arial" w:hAnsi="Arial" w:eastAsia="Arial"/>
          <w:color w:val="061820"/>
          <w:sz w:val="20"/>
        </w:rPr>
        <w:t>Mostrar valor absoluto e taxa normalizada para evitar que apenas o maior alcance domine o ranking.</w:t>
      </w:r>
    </w:p>
    <w:p>
      <w:pPr>
        <w:pStyle w:val="ListBullet"/>
        <w:keepNext w:val="0"/>
        <w:keepLines/>
        <w:spacing w:after="70" w:line="259" w:lineRule="auto"/>
        <w:ind w:left="317" w:hanging="202"/>
      </w:pPr>
      <w:r>
        <w:rPr>
          <w:rFonts w:ascii="Arial" w:hAnsi="Arial" w:eastAsia="Arial"/>
          <w:color w:val="061820"/>
          <w:sz w:val="20"/>
        </w:rPr>
        <w:t>Exibir a mediana do grupo e o tamanho da amostra ao comparar formato ou pilar.</w:t>
      </w:r>
    </w:p>
    <w:p>
      <w:pPr>
        <w:pStyle w:val="Heading1"/>
        <w:keepNext/>
        <w:keepLines/>
        <w:spacing w:before="240" w:after="120"/>
      </w:pPr>
      <w:r>
        <w:rPr>
          <w:rFonts w:ascii="Arial" w:hAnsi="Arial" w:eastAsia="Arial"/>
          <w:b/>
          <w:color w:val="000000"/>
          <w:sz w:val="34"/>
        </w:rPr>
        <w:t>Insights com evidências verificáveis</w:t>
      </w:r>
    </w:p>
    <w:p>
      <w:pPr>
        <w:widowControl/>
        <w:spacing w:after="140" w:line="264" w:lineRule="auto"/>
      </w:pPr>
      <w:r>
        <w:rPr>
          <w:rFonts w:ascii="Arial" w:hAnsi="Arial" w:eastAsia="Arial"/>
          <w:color w:val="061820"/>
          <w:sz w:val="21"/>
        </w:rPr>
        <w:t>A IA deve redigir e organizar a leitura, mas os cálculos e a seleção das evidências precisam ser determinísticos. O modelo não deve receber linhas brutas repetidas nem decidir sozinho o nível de confiança.</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757"/>
            <w:shd w:fill="0D6F6A"/>
            <w:tcMar>
              <w:top w:w="105" w:type="dxa"/>
              <w:start w:w="110" w:type="dxa"/>
              <w:bottom w:w="10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center"/>
            </w:pPr>
            <w:r>
              <w:rPr>
                <w:rFonts w:ascii="Arial" w:hAnsi="Arial" w:eastAsia="Arial"/>
                <w:b/>
                <w:color w:val="FFFFFF"/>
                <w:sz w:val="18"/>
              </w:rPr>
              <w:t>Camada</w:t>
            </w:r>
          </w:p>
        </w:tc>
        <w:tc>
          <w:tcPr>
            <w:tcW w:type="dxa" w:w="3960"/>
            <w:shd w:fill="0D6F6A"/>
            <w:tcMar>
              <w:top w:w="105" w:type="dxa"/>
              <w:start w:w="110" w:type="dxa"/>
              <w:bottom w:w="10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Pr>
                <w:rFonts w:ascii="Arial" w:hAnsi="Arial" w:eastAsia="Arial"/>
                <w:b/>
                <w:color w:val="FFFFFF"/>
                <w:sz w:val="18"/>
              </w:rPr>
              <w:t>Responsabilidade</w:t>
            </w:r>
          </w:p>
        </w:tc>
        <w:tc>
          <w:tcPr>
            <w:tcW w:type="dxa" w:w="3931"/>
            <w:shd w:fill="0D6F6A"/>
            <w:tcMar>
              <w:top w:w="105" w:type="dxa"/>
              <w:start w:w="110" w:type="dxa"/>
              <w:bottom w:w="10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Pr>
                <w:rFonts w:ascii="Arial" w:hAnsi="Arial" w:eastAsia="Arial"/>
                <w:b/>
                <w:color w:val="FFFFFF"/>
                <w:sz w:val="18"/>
              </w:rPr>
              <w:t>Saída</w:t>
            </w:r>
          </w:p>
        </w:tc>
      </w:tr>
      <w:tr>
        <w:trPr>
          <w:cantSplit/>
        </w:trPr>
        <w:tc>
          <w:tcPr>
            <w:tcW w:type="dxa" w:w="1757"/>
            <w:shd w:fill="EEF4F7"/>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center"/>
            </w:pPr>
            <w:r>
              <w:rPr>
                <w:rFonts w:ascii="Arial" w:hAnsi="Arial" w:eastAsia="Arial"/>
                <w:b/>
                <w:color w:val="061820"/>
                <w:sz w:val="17"/>
              </w:rPr>
              <w:t>Cálculo</w:t>
            </w:r>
          </w:p>
        </w:tc>
        <w:tc>
          <w:tcPr>
            <w:tcW w:type="dxa" w:w="3960"/>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Deduplicar snapshots calcular deltas taxas coortes e comparações</w:t>
            </w:r>
          </w:p>
        </w:tc>
        <w:tc>
          <w:tcPr>
            <w:tcW w:type="dxa" w:w="3931"/>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Indicadores reproduzíveis</w:t>
            </w:r>
          </w:p>
        </w:tc>
      </w:tr>
      <w:tr>
        <w:trPr>
          <w:cantSplit/>
        </w:trPr>
        <w:tc>
          <w:tcPr>
            <w:tcW w:type="dxa" w:w="1757"/>
            <w:shd w:fill="EEF4F7"/>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center"/>
            </w:pPr>
            <w:r>
              <w:rPr>
                <w:rFonts w:ascii="Arial" w:hAnsi="Arial" w:eastAsia="Arial"/>
                <w:b/>
                <w:color w:val="061820"/>
                <w:sz w:val="17"/>
              </w:rPr>
              <w:t>Detecção de sinais</w:t>
            </w:r>
          </w:p>
        </w:tc>
        <w:tc>
          <w:tcPr>
            <w:tcW w:type="dxa" w:w="3960"/>
            <w:shd w:fill="EAF7F6"/>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Aplicar limiares identificar desvios e selecionar exemplos</w:t>
            </w:r>
          </w:p>
        </w:tc>
        <w:tc>
          <w:tcPr>
            <w:tcW w:type="dxa" w:w="3931"/>
            <w:shd w:fill="EAF7F6"/>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Conjunto pequeno de sinais candidatos</w:t>
            </w:r>
          </w:p>
        </w:tc>
      </w:tr>
      <w:tr>
        <w:trPr>
          <w:cantSplit/>
        </w:trPr>
        <w:tc>
          <w:tcPr>
            <w:tcW w:type="dxa" w:w="1757"/>
            <w:shd w:fill="EEF4F7"/>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center"/>
            </w:pPr>
            <w:r>
              <w:rPr>
                <w:rFonts w:ascii="Arial" w:hAnsi="Arial" w:eastAsia="Arial"/>
                <w:b/>
                <w:color w:val="061820"/>
                <w:sz w:val="17"/>
              </w:rPr>
              <w:t>Pacote de evidências</w:t>
            </w:r>
          </w:p>
        </w:tc>
        <w:tc>
          <w:tcPr>
            <w:tcW w:type="dxa" w:w="3960"/>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Reunir números links amostra cobertura contexto e comentários agregados</w:t>
            </w:r>
          </w:p>
        </w:tc>
        <w:tc>
          <w:tcPr>
            <w:tcW w:type="dxa" w:w="3931"/>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JSON versionado sem dados desnecessários</w:t>
            </w:r>
          </w:p>
        </w:tc>
      </w:tr>
      <w:tr>
        <w:trPr>
          <w:cantSplit/>
        </w:trPr>
        <w:tc>
          <w:tcPr>
            <w:tcW w:type="dxa" w:w="1757"/>
            <w:shd w:fill="EEF4F7"/>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center"/>
            </w:pPr>
            <w:r>
              <w:rPr>
                <w:rFonts w:ascii="Arial" w:hAnsi="Arial" w:eastAsia="Arial"/>
                <w:b/>
                <w:color w:val="061820"/>
                <w:sz w:val="17"/>
              </w:rPr>
              <w:t>IA</w:t>
            </w:r>
          </w:p>
        </w:tc>
        <w:tc>
          <w:tcPr>
            <w:tcW w:type="dxa" w:w="3960"/>
            <w:shd w:fill="EAF7F6"/>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Explicar a evidência formular hipótese e sugerir um teste</w:t>
            </w:r>
          </w:p>
        </w:tc>
        <w:tc>
          <w:tcPr>
            <w:tcW w:type="dxa" w:w="3931"/>
            <w:shd w:fill="EAF7F6"/>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Texto estruturado com limitações</w:t>
            </w:r>
          </w:p>
        </w:tc>
      </w:tr>
      <w:tr>
        <w:trPr>
          <w:cantSplit/>
        </w:trPr>
        <w:tc>
          <w:tcPr>
            <w:tcW w:type="dxa" w:w="1757"/>
            <w:shd w:fill="EEF4F7"/>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center"/>
            </w:pPr>
            <w:r>
              <w:rPr>
                <w:rFonts w:ascii="Arial" w:hAnsi="Arial" w:eastAsia="Arial"/>
                <w:b/>
                <w:color w:val="061820"/>
                <w:sz w:val="17"/>
              </w:rPr>
              <w:t>Revisão humana</w:t>
            </w:r>
          </w:p>
        </w:tc>
        <w:tc>
          <w:tcPr>
            <w:tcW w:type="dxa" w:w="3960"/>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Aprovar descartar editar e atribuir uma ação</w:t>
            </w:r>
          </w:p>
        </w:tc>
        <w:tc>
          <w:tcPr>
            <w:tcW w:type="dxa" w:w="3931"/>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Decisão auditada</w:t>
            </w:r>
          </w:p>
        </w:tc>
      </w:tr>
      <w:tr>
        <w:trPr>
          <w:cantSplit/>
        </w:trPr>
        <w:tc>
          <w:tcPr>
            <w:tcW w:type="dxa" w:w="1757"/>
            <w:shd w:fill="EEF4F7"/>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center"/>
            </w:pPr>
            <w:r>
              <w:rPr>
                <w:rFonts w:ascii="Arial" w:hAnsi="Arial" w:eastAsia="Arial"/>
                <w:b/>
                <w:color w:val="061820"/>
                <w:sz w:val="17"/>
              </w:rPr>
              <w:t>Aprendizado</w:t>
            </w:r>
          </w:p>
        </w:tc>
        <w:tc>
          <w:tcPr>
            <w:tcW w:type="dxa" w:w="3960"/>
            <w:shd w:fill="EAF7F6"/>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Registrar se a ação foi executada e o resultado posterior</w:t>
            </w:r>
          </w:p>
        </w:tc>
        <w:tc>
          <w:tcPr>
            <w:tcW w:type="dxa" w:w="3931"/>
            <w:shd w:fill="EAF7F6"/>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Histórico de hipóteses úteis e descartadas</w:t>
            </w:r>
          </w:p>
        </w:tc>
      </w:tr>
    </w:tbl>
    <w:p>
      <w:pPr>
        <w:spacing w:after="0"/>
      </w:pPr>
    </w:p>
    <w:p>
      <w:pPr>
        <w:pStyle w:val="Heading2"/>
        <w:keepNext/>
        <w:keepLines/>
        <w:spacing w:before="160" w:after="80"/>
      </w:pPr>
      <w:r>
        <w:rPr>
          <w:rFonts w:ascii="Arial" w:hAnsi="Arial" w:eastAsia="Arial"/>
          <w:b/>
          <w:color w:val="000000"/>
          <w:sz w:val="25"/>
        </w:rPr>
        <w:t>Contrato do insight</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2088"/>
            <w:shd w:fill="0D6F6A"/>
            <w:tcMar>
              <w:top w:w="105" w:type="dxa"/>
              <w:start w:w="110" w:type="dxa"/>
              <w:bottom w:w="10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center"/>
            </w:pPr>
            <w:r>
              <w:rPr>
                <w:rFonts w:ascii="Arial" w:hAnsi="Arial" w:eastAsia="Arial"/>
                <w:b/>
                <w:color w:val="FFFFFF"/>
                <w:sz w:val="18"/>
              </w:rPr>
              <w:t>Campo</w:t>
            </w:r>
          </w:p>
        </w:tc>
        <w:tc>
          <w:tcPr>
            <w:tcW w:type="dxa" w:w="7560"/>
            <w:shd w:fill="0D6F6A"/>
            <w:tcMar>
              <w:top w:w="105" w:type="dxa"/>
              <w:start w:w="110" w:type="dxa"/>
              <w:bottom w:w="10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Pr>
                <w:rFonts w:ascii="Arial" w:hAnsi="Arial" w:eastAsia="Arial"/>
                <w:b/>
                <w:color w:val="FFFFFF"/>
                <w:sz w:val="18"/>
              </w:rPr>
              <w:t>Conteúdo obrigatório</w:t>
            </w:r>
          </w:p>
        </w:tc>
      </w:tr>
      <w:tr>
        <w:trPr>
          <w:cantSplit/>
        </w:trPr>
        <w:tc>
          <w:tcPr>
            <w:tcW w:type="dxa" w:w="2088"/>
            <w:shd w:fill="EEF4F7"/>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center"/>
            </w:pPr>
            <w:r>
              <w:rPr>
                <w:rFonts w:ascii="Arial" w:hAnsi="Arial" w:eastAsia="Arial"/>
                <w:b/>
                <w:color w:val="061820"/>
                <w:sz w:val="17"/>
              </w:rPr>
              <w:t>Achado</w:t>
            </w:r>
          </w:p>
        </w:tc>
        <w:tc>
          <w:tcPr>
            <w:tcW w:type="dxa" w:w="7560"/>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Uma frase factual sobre o que mudou e em qual comparação</w:t>
            </w:r>
          </w:p>
        </w:tc>
      </w:tr>
      <w:tr>
        <w:trPr>
          <w:cantSplit/>
        </w:trPr>
        <w:tc>
          <w:tcPr>
            <w:tcW w:type="dxa" w:w="2088"/>
            <w:shd w:fill="EEF4F7"/>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center"/>
            </w:pPr>
            <w:r>
              <w:rPr>
                <w:rFonts w:ascii="Arial" w:hAnsi="Arial" w:eastAsia="Arial"/>
                <w:b/>
                <w:color w:val="061820"/>
                <w:sz w:val="17"/>
              </w:rPr>
              <w:t>Evidências</w:t>
            </w:r>
          </w:p>
        </w:tc>
        <w:tc>
          <w:tcPr>
            <w:tcW w:type="dxa" w:w="7560"/>
            <w:shd w:fill="EAF7F6"/>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Valores atuais referência diferença amostra cobertura e links dos conteúdos relevantes</w:t>
            </w:r>
          </w:p>
        </w:tc>
      </w:tr>
      <w:tr>
        <w:trPr>
          <w:cantSplit/>
        </w:trPr>
        <w:tc>
          <w:tcPr>
            <w:tcW w:type="dxa" w:w="2088"/>
            <w:shd w:fill="EEF4F7"/>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center"/>
            </w:pPr>
            <w:r>
              <w:rPr>
                <w:rFonts w:ascii="Arial" w:hAnsi="Arial" w:eastAsia="Arial"/>
                <w:b/>
                <w:color w:val="061820"/>
                <w:sz w:val="17"/>
              </w:rPr>
              <w:t>Interpretação</w:t>
            </w:r>
          </w:p>
        </w:tc>
        <w:tc>
          <w:tcPr>
            <w:tcW w:type="dxa" w:w="7560"/>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Hipótese plausível apresentada como associação e não como causa</w:t>
            </w:r>
          </w:p>
        </w:tc>
      </w:tr>
      <w:tr>
        <w:trPr>
          <w:cantSplit/>
        </w:trPr>
        <w:tc>
          <w:tcPr>
            <w:tcW w:type="dxa" w:w="2088"/>
            <w:shd w:fill="EEF4F7"/>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center"/>
            </w:pPr>
            <w:r>
              <w:rPr>
                <w:rFonts w:ascii="Arial" w:hAnsi="Arial" w:eastAsia="Arial"/>
                <w:b/>
                <w:color w:val="061820"/>
                <w:sz w:val="17"/>
              </w:rPr>
              <w:t>Limitações</w:t>
            </w:r>
          </w:p>
        </w:tc>
        <w:tc>
          <w:tcPr>
            <w:tcW w:type="dxa" w:w="7560"/>
            <w:shd w:fill="EAF7F6"/>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Dados ausentes mídia paga amostra pequena atraso de coleta ou evento concorrente</w:t>
            </w:r>
          </w:p>
        </w:tc>
      </w:tr>
      <w:tr>
        <w:trPr>
          <w:cantSplit/>
        </w:trPr>
        <w:tc>
          <w:tcPr>
            <w:tcW w:type="dxa" w:w="2088"/>
            <w:shd w:fill="EEF4F7"/>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center"/>
            </w:pPr>
            <w:r>
              <w:rPr>
                <w:rFonts w:ascii="Arial" w:hAnsi="Arial" w:eastAsia="Arial"/>
                <w:b/>
                <w:color w:val="061820"/>
                <w:sz w:val="17"/>
              </w:rPr>
              <w:t>Ação recomendada</w:t>
            </w:r>
          </w:p>
        </w:tc>
        <w:tc>
          <w:tcPr>
            <w:tcW w:type="dxa" w:w="7560"/>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Um teste específico que a equipe consegue executar</w:t>
            </w:r>
          </w:p>
        </w:tc>
      </w:tr>
      <w:tr>
        <w:trPr>
          <w:cantSplit/>
        </w:trPr>
        <w:tc>
          <w:tcPr>
            <w:tcW w:type="dxa" w:w="2088"/>
            <w:shd w:fill="EEF4F7"/>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center"/>
            </w:pPr>
            <w:r>
              <w:rPr>
                <w:rFonts w:ascii="Arial" w:hAnsi="Arial" w:eastAsia="Arial"/>
                <w:b/>
                <w:color w:val="061820"/>
                <w:sz w:val="17"/>
              </w:rPr>
              <w:t>Métrica de decisão</w:t>
            </w:r>
          </w:p>
        </w:tc>
        <w:tc>
          <w:tcPr>
            <w:tcW w:type="dxa" w:w="7560"/>
            <w:shd w:fill="EAF7F6"/>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Indicador principal guardrail janela e critério de sucesso</w:t>
            </w:r>
          </w:p>
        </w:tc>
      </w:tr>
      <w:tr>
        <w:trPr>
          <w:cantSplit/>
        </w:trPr>
        <w:tc>
          <w:tcPr>
            <w:tcW w:type="dxa" w:w="2088"/>
            <w:shd w:fill="EEF4F7"/>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center"/>
            </w:pPr>
            <w:r>
              <w:rPr>
                <w:rFonts w:ascii="Arial" w:hAnsi="Arial" w:eastAsia="Arial"/>
                <w:b/>
                <w:color w:val="061820"/>
                <w:sz w:val="17"/>
              </w:rPr>
              <w:t>Confiança</w:t>
            </w:r>
          </w:p>
        </w:tc>
        <w:tc>
          <w:tcPr>
            <w:tcW w:type="dxa" w:w="7560"/>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Pontuação calculada a partir de qualidade consistência e amostra</w:t>
            </w:r>
          </w:p>
        </w:tc>
      </w:tr>
      <w:tr>
        <w:trPr>
          <w:cantSplit/>
        </w:trPr>
        <w:tc>
          <w:tcPr>
            <w:tcW w:type="dxa" w:w="2088"/>
            <w:shd w:fill="EEF4F7"/>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center"/>
            </w:pPr>
            <w:r>
              <w:rPr>
                <w:rFonts w:ascii="Arial" w:hAnsi="Arial" w:eastAsia="Arial"/>
                <w:b/>
                <w:color w:val="061820"/>
                <w:sz w:val="17"/>
              </w:rPr>
              <w:t>Decisão</w:t>
            </w:r>
          </w:p>
        </w:tc>
        <w:tc>
          <w:tcPr>
            <w:tcW w:type="dxa" w:w="7560"/>
            <w:shd w:fill="EAF7F6"/>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Pendente aprovada descartada ou concluída com autor e data</w:t>
            </w:r>
          </w:p>
        </w:tc>
      </w:tr>
    </w:tbl>
    <w:p>
      <w:pPr>
        <w:spacing w:after="0"/>
      </w:pPr>
    </w:p>
    <w:p>
      <w:pPr>
        <w:pStyle w:val="Heading2"/>
        <w:keepNext/>
        <w:keepLines/>
        <w:spacing w:before="160" w:after="80"/>
      </w:pPr>
      <w:r>
        <w:rPr>
          <w:rFonts w:ascii="Arial" w:hAnsi="Arial" w:eastAsia="Arial"/>
          <w:b/>
          <w:color w:val="000000"/>
          <w:sz w:val="25"/>
        </w:rPr>
        <w:t>Regras de confiança</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368"/>
            <w:shd w:fill="0D6F6A"/>
            <w:tcMar>
              <w:top w:w="105" w:type="dxa"/>
              <w:start w:w="110" w:type="dxa"/>
              <w:bottom w:w="10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center"/>
            </w:pPr>
            <w:r>
              <w:rPr>
                <w:rFonts w:ascii="Arial" w:hAnsi="Arial" w:eastAsia="Arial"/>
                <w:b/>
                <w:color w:val="FFFFFF"/>
                <w:sz w:val="18"/>
              </w:rPr>
              <w:t>Nível</w:t>
            </w:r>
          </w:p>
        </w:tc>
        <w:tc>
          <w:tcPr>
            <w:tcW w:type="dxa" w:w="5400"/>
            <w:shd w:fill="0D6F6A"/>
            <w:tcMar>
              <w:top w:w="105" w:type="dxa"/>
              <w:start w:w="110" w:type="dxa"/>
              <w:bottom w:w="10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Pr>
                <w:rFonts w:ascii="Arial" w:hAnsi="Arial" w:eastAsia="Arial"/>
                <w:b/>
                <w:color w:val="FFFFFF"/>
                <w:sz w:val="18"/>
              </w:rPr>
              <w:t>Critério inicial proposto</w:t>
            </w:r>
          </w:p>
        </w:tc>
        <w:tc>
          <w:tcPr>
            <w:tcW w:type="dxa" w:w="2952"/>
            <w:shd w:fill="0D6F6A"/>
            <w:tcMar>
              <w:top w:w="105" w:type="dxa"/>
              <w:start w:w="110" w:type="dxa"/>
              <w:bottom w:w="10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Pr>
                <w:rFonts w:ascii="Arial" w:hAnsi="Arial" w:eastAsia="Arial"/>
                <w:b/>
                <w:color w:val="FFFFFF"/>
                <w:sz w:val="18"/>
              </w:rPr>
              <w:t>Uso</w:t>
            </w:r>
          </w:p>
        </w:tc>
      </w:tr>
      <w:tr>
        <w:trPr>
          <w:cantSplit/>
        </w:trPr>
        <w:tc>
          <w:tcPr>
            <w:tcW w:type="dxa" w:w="1368"/>
            <w:shd w:fill="EEF4F7"/>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center"/>
            </w:pPr>
            <w:r>
              <w:rPr>
                <w:rFonts w:ascii="Arial" w:hAnsi="Arial" w:eastAsia="Arial"/>
                <w:b/>
                <w:color w:val="061820"/>
                <w:sz w:val="17"/>
              </w:rPr>
              <w:t>Baixa</w:t>
            </w:r>
          </w:p>
        </w:tc>
        <w:tc>
          <w:tcPr>
            <w:tcW w:type="dxa" w:w="5400"/>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Cobertura incompleta menos de três conteúdos comparáveis ou ausência de referência</w:t>
            </w:r>
          </w:p>
        </w:tc>
        <w:tc>
          <w:tcPr>
            <w:tcW w:type="dxa" w:w="2952"/>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Descrever o sinal e pedir mais dados sem recomendar escala</w:t>
            </w:r>
          </w:p>
        </w:tc>
      </w:tr>
      <w:tr>
        <w:trPr>
          <w:cantSplit/>
        </w:trPr>
        <w:tc>
          <w:tcPr>
            <w:tcW w:type="dxa" w:w="1368"/>
            <w:shd w:fill="EEF4F7"/>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center"/>
            </w:pPr>
            <w:r>
              <w:rPr>
                <w:rFonts w:ascii="Arial" w:hAnsi="Arial" w:eastAsia="Arial"/>
                <w:b/>
                <w:color w:val="061820"/>
                <w:sz w:val="17"/>
              </w:rPr>
              <w:t>Média</w:t>
            </w:r>
          </w:p>
        </w:tc>
        <w:tc>
          <w:tcPr>
            <w:tcW w:type="dxa" w:w="5400"/>
            <w:shd w:fill="EAF7F6"/>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Cobertura mínima de noventa por cento pelo menos quatro conteúdos comparáveis e sinal consistente em mais de um item</w:t>
            </w:r>
          </w:p>
        </w:tc>
        <w:tc>
          <w:tcPr>
            <w:tcW w:type="dxa" w:w="2952"/>
            <w:shd w:fill="EAF7F6"/>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Propor teste controlado</w:t>
            </w:r>
          </w:p>
        </w:tc>
      </w:tr>
      <w:tr>
        <w:trPr>
          <w:cantSplit/>
        </w:trPr>
        <w:tc>
          <w:tcPr>
            <w:tcW w:type="dxa" w:w="1368"/>
            <w:shd w:fill="EEF4F7"/>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center"/>
            </w:pPr>
            <w:r>
              <w:rPr>
                <w:rFonts w:ascii="Arial" w:hAnsi="Arial" w:eastAsia="Arial"/>
                <w:b/>
                <w:color w:val="061820"/>
                <w:sz w:val="17"/>
              </w:rPr>
              <w:t>Alta</w:t>
            </w:r>
          </w:p>
        </w:tc>
        <w:tc>
          <w:tcPr>
            <w:tcW w:type="dxa" w:w="5400"/>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Quatro ou mais períodos comparáveis amostra suficiente consistência por mediana e nenhuma lacuna relevante</w:t>
            </w:r>
          </w:p>
        </w:tc>
        <w:tc>
          <w:tcPr>
            <w:tcW w:type="dxa" w:w="2952"/>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Recomendar repetição ou incorporação ao processo ainda com revisão humana</w:t>
            </w:r>
          </w:p>
        </w:tc>
      </w:tr>
    </w:tbl>
    <w:p>
      <w:pPr>
        <w:spacing w:after="0"/>
      </w:pPr>
    </w:p>
    <w:p>
      <w:pPr>
        <w:widowControl/>
        <w:spacing w:after="140" w:line="264" w:lineRule="auto"/>
      </w:pPr>
      <w:r>
        <w:rPr>
          <w:rFonts w:ascii="Arial" w:hAnsi="Arial" w:eastAsia="Arial"/>
          <w:color w:val="061820"/>
          <w:sz w:val="21"/>
        </w:rPr>
        <w:t>Os limites devem ser calibrados depois das primeiras semanas de dados reais. Até isso ocorrer, confiança alta deve ser rara. Um único post com desempenho extremo não deve produzir confiança alta por si só.</w:t>
      </w:r>
    </w:p>
    <w:p>
      <w:pPr>
        <w:pStyle w:val="Heading2"/>
        <w:keepNext/>
        <w:keepLines/>
        <w:spacing w:before="160" w:after="80"/>
      </w:pPr>
      <w:r>
        <w:rPr>
          <w:rFonts w:ascii="Arial" w:hAnsi="Arial" w:eastAsia="Arial"/>
          <w:b/>
          <w:color w:val="000000"/>
          <w:sz w:val="25"/>
        </w:rPr>
        <w:t>Proteções para o uso de IA</w:t>
      </w:r>
    </w:p>
    <w:p>
      <w:pPr>
        <w:pStyle w:val="ListBullet"/>
        <w:keepNext w:val="0"/>
        <w:keepLines/>
        <w:spacing w:after="70" w:line="259" w:lineRule="auto"/>
        <w:ind w:left="317" w:hanging="202"/>
      </w:pPr>
      <w:r>
        <w:rPr>
          <w:rFonts w:ascii="Arial" w:hAnsi="Arial" w:eastAsia="Arial"/>
          <w:color w:val="061820"/>
          <w:sz w:val="20"/>
        </w:rPr>
        <w:t>Não enviar URLs temporárias de mídia children ou payloads que não contribuam para a análise.</w:t>
      </w:r>
    </w:p>
    <w:p>
      <w:pPr>
        <w:pStyle w:val="ListBullet"/>
        <w:keepNext w:val="0"/>
        <w:keepLines/>
        <w:spacing w:after="70" w:line="259" w:lineRule="auto"/>
        <w:ind w:left="317" w:hanging="202"/>
      </w:pPr>
      <w:r>
        <w:rPr>
          <w:rFonts w:ascii="Arial" w:hAnsi="Arial" w:eastAsia="Arial"/>
          <w:color w:val="061820"/>
          <w:sz w:val="20"/>
        </w:rPr>
        <w:t>Enviar números já calculados com nomes de métricas período fuso e unidade explícitos.</w:t>
      </w:r>
    </w:p>
    <w:p>
      <w:pPr>
        <w:pStyle w:val="ListBullet"/>
        <w:keepNext w:val="0"/>
        <w:keepLines/>
        <w:spacing w:after="70" w:line="259" w:lineRule="auto"/>
        <w:ind w:left="317" w:hanging="202"/>
      </w:pPr>
      <w:r>
        <w:rPr>
          <w:rFonts w:ascii="Arial" w:hAnsi="Arial" w:eastAsia="Arial"/>
          <w:color w:val="061820"/>
          <w:sz w:val="20"/>
        </w:rPr>
        <w:t>Validar o JSON de saída por esquema e rejeitar evidência que não exista no pacote fornecido.</w:t>
      </w:r>
    </w:p>
    <w:p>
      <w:pPr>
        <w:pStyle w:val="ListBullet"/>
        <w:keepNext w:val="0"/>
        <w:keepLines/>
        <w:spacing w:after="70" w:line="259" w:lineRule="auto"/>
        <w:ind w:left="317" w:hanging="202"/>
      </w:pPr>
      <w:r>
        <w:rPr>
          <w:rFonts w:ascii="Arial" w:hAnsi="Arial" w:eastAsia="Arial"/>
          <w:color w:val="061820"/>
          <w:sz w:val="20"/>
        </w:rPr>
        <w:t>Limitar a uma hipótese principal e no máximo duas observações secundárias por período.</w:t>
      </w:r>
    </w:p>
    <w:p>
      <w:pPr>
        <w:pStyle w:val="ListBullet"/>
        <w:keepNext w:val="0"/>
        <w:keepLines/>
        <w:spacing w:after="70" w:line="259" w:lineRule="auto"/>
        <w:ind w:left="317" w:hanging="202"/>
      </w:pPr>
      <w:r>
        <w:rPr>
          <w:rFonts w:ascii="Arial" w:hAnsi="Arial" w:eastAsia="Arial"/>
          <w:color w:val="061820"/>
          <w:sz w:val="20"/>
        </w:rPr>
        <w:t>Registrar a versão do cálculo do prompt do modelo e do pacote de evidências.</w:t>
      </w:r>
    </w:p>
    <w:p>
      <w:pPr>
        <w:pStyle w:val="Heading1"/>
        <w:keepNext/>
        <w:keepLines/>
        <w:spacing w:before="240" w:after="120"/>
      </w:pPr>
      <w:r>
        <w:rPr>
          <w:rFonts w:ascii="Arial" w:hAnsi="Arial" w:eastAsia="Arial"/>
          <w:b/>
          <w:color w:val="000000"/>
          <w:sz w:val="34"/>
        </w:rPr>
        <w:t>Plano de implementação priorizado</w:t>
      </w:r>
    </w:p>
    <w:p>
      <w:pPr>
        <w:widowControl/>
        <w:spacing w:after="140" w:line="264" w:lineRule="auto"/>
      </w:pPr>
      <w:r>
        <w:rPr>
          <w:rFonts w:ascii="Arial" w:hAnsi="Arial" w:eastAsia="Arial"/>
          <w:color w:val="061820"/>
          <w:sz w:val="21"/>
        </w:rPr>
        <w:t>A ordem proposta reduz risco e entrega valor progressivo. As estimativas abaixo são faixas relativas para planejamento e dependem da validação das permissões e métricas retornadas pela conta real.</w:t>
      </w:r>
    </w:p>
    <w:tbl>
      <w:tblPr>
        <w:tblW w:type="auto" w:w="0"/>
        <w:jc w:val="center"/>
        <w:tblLayout w:type="fixed"/>
        <w:tblLook w:firstColumn="1" w:firstRow="1" w:lastColumn="0" w:lastRow="0" w:noHBand="0" w:noVBand="1" w:val="04A0"/>
      </w:tblPr>
      <w:tblGrid>
        <w:gridCol w:w="1976"/>
        <w:gridCol w:w="1976"/>
        <w:gridCol w:w="1976"/>
        <w:gridCol w:w="1976"/>
        <w:gridCol w:w="1976"/>
      </w:tblGrid>
      <w:tr>
        <w:trPr>
          <w:tblHeader w:val="true"/>
        </w:trPr>
        <w:tc>
          <w:tcPr>
            <w:tcW w:type="dxa" w:w="648"/>
            <w:shd w:fill="0D6F6A"/>
            <w:tcMar>
              <w:top w:w="105" w:type="dxa"/>
              <w:start w:w="110" w:type="dxa"/>
              <w:bottom w:w="10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center"/>
            </w:pPr>
            <w:r>
              <w:rPr>
                <w:rFonts w:ascii="Arial" w:hAnsi="Arial" w:eastAsia="Arial"/>
                <w:b/>
                <w:color w:val="FFFFFF"/>
                <w:sz w:val="18"/>
              </w:rPr>
              <w:t>Fase</w:t>
            </w:r>
          </w:p>
        </w:tc>
        <w:tc>
          <w:tcPr>
            <w:tcW w:type="dxa" w:w="1008"/>
            <w:shd w:fill="0D6F6A"/>
            <w:tcMar>
              <w:top w:w="105" w:type="dxa"/>
              <w:start w:w="110" w:type="dxa"/>
              <w:bottom w:w="10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Pr>
                <w:rFonts w:ascii="Arial" w:hAnsi="Arial" w:eastAsia="Arial"/>
                <w:b/>
                <w:color w:val="FFFFFF"/>
                <w:sz w:val="18"/>
              </w:rPr>
              <w:t>Prioridade</w:t>
            </w:r>
          </w:p>
        </w:tc>
        <w:tc>
          <w:tcPr>
            <w:tcW w:type="dxa" w:w="2088"/>
            <w:shd w:fill="0D6F6A"/>
            <w:tcMar>
              <w:top w:w="105" w:type="dxa"/>
              <w:start w:w="110" w:type="dxa"/>
              <w:bottom w:w="10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Pr>
                <w:rFonts w:ascii="Arial" w:hAnsi="Arial" w:eastAsia="Arial"/>
                <w:b/>
                <w:color w:val="FFFFFF"/>
                <w:sz w:val="18"/>
              </w:rPr>
              <w:t>Entrega</w:t>
            </w:r>
          </w:p>
        </w:tc>
        <w:tc>
          <w:tcPr>
            <w:tcW w:type="dxa" w:w="4608"/>
            <w:shd w:fill="0D6F6A"/>
            <w:tcMar>
              <w:top w:w="105" w:type="dxa"/>
              <w:start w:w="110" w:type="dxa"/>
              <w:bottom w:w="10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Pr>
                <w:rFonts w:ascii="Arial" w:hAnsi="Arial" w:eastAsia="Arial"/>
                <w:b/>
                <w:color w:val="FFFFFF"/>
                <w:sz w:val="18"/>
              </w:rPr>
              <w:t>Critério de pronto</w:t>
            </w:r>
          </w:p>
        </w:tc>
        <w:tc>
          <w:tcPr>
            <w:tcW w:type="dxa" w:w="1296"/>
            <w:shd w:fill="0D6F6A"/>
            <w:tcMar>
              <w:top w:w="105" w:type="dxa"/>
              <w:start w:w="110" w:type="dxa"/>
              <w:bottom w:w="10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Pr>
                <w:rFonts w:ascii="Arial" w:hAnsi="Arial" w:eastAsia="Arial"/>
                <w:b/>
                <w:color w:val="FFFFFF"/>
                <w:sz w:val="18"/>
              </w:rPr>
              <w:t>Esforço indicativo</w:t>
            </w:r>
          </w:p>
        </w:tc>
      </w:tr>
      <w:tr>
        <w:trPr>
          <w:cantSplit/>
        </w:trPr>
        <w:tc>
          <w:tcPr>
            <w:tcW w:type="dxa" w:w="648"/>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center"/>
            </w:pPr>
            <w:r>
              <w:rPr>
                <w:rFonts w:ascii="Arial" w:hAnsi="Arial" w:eastAsia="Arial"/>
                <w:b/>
                <w:color w:val="061820"/>
                <w:sz w:val="17"/>
              </w:rPr>
              <w:t>0</w:t>
            </w:r>
          </w:p>
        </w:tc>
        <w:tc>
          <w:tcPr>
            <w:tcW w:type="dxa" w:w="1008"/>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center"/>
            </w:pPr>
            <w:r>
              <w:rPr>
                <w:rFonts w:ascii="Arial" w:hAnsi="Arial" w:eastAsia="Arial"/>
                <w:color w:val="061820"/>
                <w:sz w:val="17"/>
              </w:rPr>
              <w:t>P0</w:t>
            </w:r>
          </w:p>
        </w:tc>
        <w:tc>
          <w:tcPr>
            <w:tcW w:type="dxa" w:w="2088"/>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Correção dos cálculos atuais</w:t>
            </w:r>
          </w:p>
        </w:tc>
        <w:tc>
          <w:tcPr>
            <w:tcW w:type="dxa" w:w="4608"/>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Uma mídia aparece uma vez por visão analítica relatórios usam período correto e há testes de regressão</w:t>
            </w:r>
          </w:p>
        </w:tc>
        <w:tc>
          <w:tcPr>
            <w:tcW w:type="dxa" w:w="1296"/>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center"/>
            </w:pPr>
            <w:r>
              <w:rPr>
                <w:rFonts w:ascii="Arial" w:hAnsi="Arial" w:eastAsia="Arial"/>
                <w:color w:val="061820"/>
                <w:sz w:val="17"/>
              </w:rPr>
              <w:t>2 a 4 dias</w:t>
            </w:r>
          </w:p>
        </w:tc>
      </w:tr>
      <w:tr>
        <w:trPr>
          <w:cantSplit/>
        </w:trPr>
        <w:tc>
          <w:tcPr>
            <w:tcW w:type="dxa" w:w="648"/>
            <w:shd w:fill="EAF7F6"/>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center"/>
            </w:pPr>
            <w:r>
              <w:rPr>
                <w:rFonts w:ascii="Arial" w:hAnsi="Arial" w:eastAsia="Arial"/>
                <w:b/>
                <w:color w:val="061820"/>
                <w:sz w:val="17"/>
              </w:rPr>
              <w:t>1</w:t>
            </w:r>
          </w:p>
        </w:tc>
        <w:tc>
          <w:tcPr>
            <w:tcW w:type="dxa" w:w="1008"/>
            <w:shd w:fill="EAF7F6"/>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center"/>
            </w:pPr>
            <w:r>
              <w:rPr>
                <w:rFonts w:ascii="Arial" w:hAnsi="Arial" w:eastAsia="Arial"/>
                <w:color w:val="061820"/>
                <w:sz w:val="17"/>
              </w:rPr>
              <w:t>P0</w:t>
            </w:r>
          </w:p>
        </w:tc>
        <w:tc>
          <w:tcPr>
            <w:tcW w:type="dxa" w:w="2088"/>
            <w:shd w:fill="EAF7F6"/>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Coleta de visualizações alcance e interações</w:t>
            </w:r>
          </w:p>
        </w:tc>
        <w:tc>
          <w:tcPr>
            <w:tcW w:type="dxa" w:w="4608"/>
            <w:shd w:fill="EAF7F6"/>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Insights por mídia e conta salvos com disponibilidade versão da API cobertura e reprocessamento</w:t>
            </w:r>
          </w:p>
        </w:tc>
        <w:tc>
          <w:tcPr>
            <w:tcW w:type="dxa" w:w="1296"/>
            <w:shd w:fill="EAF7F6"/>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center"/>
            </w:pPr>
            <w:r>
              <w:rPr>
                <w:rFonts w:ascii="Arial" w:hAnsi="Arial" w:eastAsia="Arial"/>
                <w:color w:val="061820"/>
                <w:sz w:val="17"/>
              </w:rPr>
              <w:t>5 a 8 dias</w:t>
            </w:r>
          </w:p>
        </w:tc>
      </w:tr>
      <w:tr>
        <w:trPr>
          <w:cantSplit/>
        </w:trPr>
        <w:tc>
          <w:tcPr>
            <w:tcW w:type="dxa" w:w="648"/>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center"/>
            </w:pPr>
            <w:r>
              <w:rPr>
                <w:rFonts w:ascii="Arial" w:hAnsi="Arial" w:eastAsia="Arial"/>
                <w:b/>
                <w:color w:val="061820"/>
                <w:sz w:val="17"/>
              </w:rPr>
              <w:t>2</w:t>
            </w:r>
          </w:p>
        </w:tc>
        <w:tc>
          <w:tcPr>
            <w:tcW w:type="dxa" w:w="1008"/>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center"/>
            </w:pPr>
            <w:r>
              <w:rPr>
                <w:rFonts w:ascii="Arial" w:hAnsi="Arial" w:eastAsia="Arial"/>
                <w:color w:val="061820"/>
                <w:sz w:val="17"/>
              </w:rPr>
              <w:t>P1</w:t>
            </w:r>
          </w:p>
        </w:tc>
        <w:tc>
          <w:tcPr>
            <w:tcW w:type="dxa" w:w="2088"/>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Novo relatório semanal</w:t>
            </w:r>
          </w:p>
        </w:tc>
        <w:tc>
          <w:tcPr>
            <w:tcW w:type="dxa" w:w="4608"/>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Comparação temporal KPIs ranking normalizado qualidade de dados e contexto visíveis</w:t>
            </w:r>
          </w:p>
        </w:tc>
        <w:tc>
          <w:tcPr>
            <w:tcW w:type="dxa" w:w="1296"/>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center"/>
            </w:pPr>
            <w:r>
              <w:rPr>
                <w:rFonts w:ascii="Arial" w:hAnsi="Arial" w:eastAsia="Arial"/>
                <w:color w:val="061820"/>
                <w:sz w:val="17"/>
              </w:rPr>
              <w:t>4 a 6 dias</w:t>
            </w:r>
          </w:p>
        </w:tc>
      </w:tr>
      <w:tr>
        <w:trPr>
          <w:cantSplit/>
        </w:trPr>
        <w:tc>
          <w:tcPr>
            <w:tcW w:type="dxa" w:w="648"/>
            <w:shd w:fill="EAF7F6"/>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center"/>
            </w:pPr>
            <w:r>
              <w:rPr>
                <w:rFonts w:ascii="Arial" w:hAnsi="Arial" w:eastAsia="Arial"/>
                <w:b/>
                <w:color w:val="061820"/>
                <w:sz w:val="17"/>
              </w:rPr>
              <w:t>3</w:t>
            </w:r>
          </w:p>
        </w:tc>
        <w:tc>
          <w:tcPr>
            <w:tcW w:type="dxa" w:w="1008"/>
            <w:shd w:fill="EAF7F6"/>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center"/>
            </w:pPr>
            <w:r>
              <w:rPr>
                <w:rFonts w:ascii="Arial" w:hAnsi="Arial" w:eastAsia="Arial"/>
                <w:color w:val="061820"/>
                <w:sz w:val="17"/>
              </w:rPr>
              <w:t>P1</w:t>
            </w:r>
          </w:p>
        </w:tc>
        <w:tc>
          <w:tcPr>
            <w:tcW w:type="dxa" w:w="2088"/>
            <w:shd w:fill="EAF7F6"/>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Motor de insights confiável</w:t>
            </w:r>
          </w:p>
        </w:tc>
        <w:tc>
          <w:tcPr>
            <w:tcW w:type="dxa" w:w="4608"/>
            <w:shd w:fill="EAF7F6"/>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Pacote determinístico contrato de saída regras de confiança aprovação e rastreio da ação</w:t>
            </w:r>
          </w:p>
        </w:tc>
        <w:tc>
          <w:tcPr>
            <w:tcW w:type="dxa" w:w="1296"/>
            <w:shd w:fill="EAF7F6"/>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center"/>
            </w:pPr>
            <w:r>
              <w:rPr>
                <w:rFonts w:ascii="Arial" w:hAnsi="Arial" w:eastAsia="Arial"/>
                <w:color w:val="061820"/>
                <w:sz w:val="17"/>
              </w:rPr>
              <w:t>4 a 6 dias</w:t>
            </w:r>
          </w:p>
        </w:tc>
      </w:tr>
      <w:tr>
        <w:trPr>
          <w:cantSplit/>
        </w:trPr>
        <w:tc>
          <w:tcPr>
            <w:tcW w:type="dxa" w:w="648"/>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center"/>
            </w:pPr>
            <w:r>
              <w:rPr>
                <w:rFonts w:ascii="Arial" w:hAnsi="Arial" w:eastAsia="Arial"/>
                <w:b/>
                <w:color w:val="061820"/>
                <w:sz w:val="17"/>
              </w:rPr>
              <w:t>4</w:t>
            </w:r>
          </w:p>
        </w:tc>
        <w:tc>
          <w:tcPr>
            <w:tcW w:type="dxa" w:w="1008"/>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center"/>
            </w:pPr>
            <w:r>
              <w:rPr>
                <w:rFonts w:ascii="Arial" w:hAnsi="Arial" w:eastAsia="Arial"/>
                <w:color w:val="061820"/>
                <w:sz w:val="17"/>
              </w:rPr>
              <w:t>P2</w:t>
            </w:r>
          </w:p>
        </w:tc>
        <w:tc>
          <w:tcPr>
            <w:tcW w:type="dxa" w:w="2088"/>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Automação e distribuição</w:t>
            </w:r>
          </w:p>
        </w:tc>
        <w:tc>
          <w:tcPr>
            <w:tcW w:type="dxa" w:w="4608"/>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Coleta agendada relatório persistido exportação e alerta somente em mudança relevante ou falha</w:t>
            </w:r>
          </w:p>
        </w:tc>
        <w:tc>
          <w:tcPr>
            <w:tcW w:type="dxa" w:w="1296"/>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center"/>
            </w:pPr>
            <w:r>
              <w:rPr>
                <w:rFonts w:ascii="Arial" w:hAnsi="Arial" w:eastAsia="Arial"/>
                <w:color w:val="061820"/>
                <w:sz w:val="17"/>
              </w:rPr>
              <w:t>3 a 5 dias</w:t>
            </w:r>
          </w:p>
        </w:tc>
      </w:tr>
    </w:tbl>
    <w:p>
      <w:pPr>
        <w:spacing w:after="0"/>
      </w:pPr>
    </w:p>
    <w:p>
      <w:pPr>
        <w:pStyle w:val="Heading2"/>
        <w:keepNext/>
        <w:keepLines/>
        <w:spacing w:before="160" w:after="80"/>
      </w:pPr>
      <w:r>
        <w:rPr>
          <w:rFonts w:ascii="Arial" w:hAnsi="Arial" w:eastAsia="Arial"/>
          <w:b/>
          <w:color w:val="000000"/>
          <w:sz w:val="25"/>
        </w:rPr>
        <w:t>Fase zero correção imediata</w:t>
      </w:r>
    </w:p>
    <w:p>
      <w:pPr>
        <w:pStyle w:val="ListBullet"/>
        <w:keepNext w:val="0"/>
        <w:keepLines/>
        <w:spacing w:after="70" w:line="259" w:lineRule="auto"/>
        <w:ind w:left="317" w:hanging="202"/>
      </w:pPr>
      <w:r>
        <w:rPr>
          <w:rFonts w:ascii="Arial" w:hAnsi="Arial" w:eastAsia="Arial"/>
          <w:color w:val="061820"/>
          <w:sz w:val="20"/>
        </w:rPr>
        <w:t>Criar uma consulta ou RPC que retorne o último snapshot por mídia dentro do limite temporal solicitado.</w:t>
      </w:r>
    </w:p>
    <w:p>
      <w:pPr>
        <w:pStyle w:val="ListBullet"/>
        <w:keepNext w:val="0"/>
        <w:keepLines/>
        <w:spacing w:after="70" w:line="259" w:lineRule="auto"/>
        <w:ind w:left="317" w:hanging="202"/>
      </w:pPr>
      <w:r>
        <w:rPr>
          <w:rFonts w:ascii="Arial" w:hAnsi="Arial" w:eastAsia="Arial"/>
          <w:color w:val="061820"/>
          <w:sz w:val="20"/>
        </w:rPr>
        <w:t>Alterar a tela de métricas para contar mídias únicas e mostrar a data da última observação.</w:t>
      </w:r>
    </w:p>
    <w:p>
      <w:pPr>
        <w:pStyle w:val="ListBullet"/>
        <w:keepNext w:val="0"/>
        <w:keepLines/>
        <w:spacing w:after="70" w:line="259" w:lineRule="auto"/>
        <w:ind w:left="317" w:hanging="202"/>
      </w:pPr>
      <w:r>
        <w:rPr>
          <w:rFonts w:ascii="Arial" w:hAnsi="Arial" w:eastAsia="Arial"/>
          <w:color w:val="061820"/>
          <w:sz w:val="20"/>
        </w:rPr>
        <w:t>Alterar o relatório para formar a coorte por publicado em e usar o último valor válido por mídia.</w:t>
      </w:r>
    </w:p>
    <w:p>
      <w:pPr>
        <w:pStyle w:val="ListBullet"/>
        <w:keepNext w:val="0"/>
        <w:keepLines/>
        <w:spacing w:after="70" w:line="259" w:lineRule="auto"/>
        <w:ind w:left="317" w:hanging="202"/>
      </w:pPr>
      <w:r>
        <w:rPr>
          <w:rFonts w:ascii="Arial" w:hAnsi="Arial" w:eastAsia="Arial"/>
          <w:color w:val="061820"/>
          <w:sz w:val="20"/>
        </w:rPr>
        <w:t>Alterar o gerador de insight para deduplicar por mídia e excluir mídia URL thumbnail e children do pacote de IA.</w:t>
      </w:r>
    </w:p>
    <w:p>
      <w:pPr>
        <w:pStyle w:val="ListBullet"/>
        <w:keepNext w:val="0"/>
        <w:keepLines/>
        <w:spacing w:after="70" w:line="259" w:lineRule="auto"/>
        <w:ind w:left="317" w:hanging="202"/>
      </w:pPr>
      <w:r>
        <w:rPr>
          <w:rFonts w:ascii="Arial" w:hAnsi="Arial" w:eastAsia="Arial"/>
          <w:color w:val="061820"/>
          <w:sz w:val="20"/>
        </w:rPr>
        <w:t>Adicionar testes para dupla importação mesmo post antigo recapturado e métrica ausente.</w:t>
      </w:r>
    </w:p>
    <w:p>
      <w:pPr>
        <w:pStyle w:val="Heading2"/>
        <w:keepNext/>
        <w:keepLines/>
        <w:spacing w:before="160" w:after="80"/>
      </w:pPr>
      <w:r>
        <w:rPr>
          <w:rFonts w:ascii="Arial" w:hAnsi="Arial" w:eastAsia="Arial"/>
          <w:b/>
          <w:color w:val="000000"/>
          <w:sz w:val="25"/>
        </w:rPr>
        <w:t>Fase um coleta de insights</w:t>
      </w:r>
    </w:p>
    <w:p>
      <w:pPr>
        <w:pStyle w:val="ListBullet"/>
        <w:keepNext w:val="0"/>
        <w:keepLines/>
        <w:spacing w:after="70" w:line="259" w:lineRule="auto"/>
        <w:ind w:left="317" w:hanging="202"/>
      </w:pPr>
      <w:r>
        <w:rPr>
          <w:rFonts w:ascii="Arial" w:hAnsi="Arial" w:eastAsia="Arial"/>
          <w:color w:val="061820"/>
          <w:sz w:val="20"/>
        </w:rPr>
        <w:t>Versionar explicitamente a Graph API usada nas chamadas.</w:t>
      </w:r>
    </w:p>
    <w:p>
      <w:pPr>
        <w:pStyle w:val="ListBullet"/>
        <w:keepNext w:val="0"/>
        <w:keepLines/>
        <w:spacing w:after="70" w:line="259" w:lineRule="auto"/>
        <w:ind w:left="317" w:hanging="202"/>
      </w:pPr>
      <w:r>
        <w:rPr>
          <w:rFonts w:ascii="Arial" w:hAnsi="Arial" w:eastAsia="Arial"/>
          <w:color w:val="061820"/>
          <w:sz w:val="20"/>
        </w:rPr>
        <w:t>Implementar uma matriz de métricas por tipo de mídia com fallback por campo não suportado.</w:t>
      </w:r>
    </w:p>
    <w:p>
      <w:pPr>
        <w:pStyle w:val="ListBullet"/>
        <w:keepNext w:val="0"/>
        <w:keepLines/>
        <w:spacing w:after="70" w:line="259" w:lineRule="auto"/>
        <w:ind w:left="317" w:hanging="202"/>
      </w:pPr>
      <w:r>
        <w:rPr>
          <w:rFonts w:ascii="Arial" w:hAnsi="Arial" w:eastAsia="Arial"/>
          <w:color w:val="061820"/>
          <w:sz w:val="20"/>
        </w:rPr>
        <w:t>Coletar série diária da conta e snapshots por mídia sem misturar os dois níveis.</w:t>
      </w:r>
    </w:p>
    <w:p>
      <w:pPr>
        <w:pStyle w:val="ListBullet"/>
        <w:keepNext w:val="0"/>
        <w:keepLines/>
        <w:spacing w:after="70" w:line="259" w:lineRule="auto"/>
        <w:ind w:left="317" w:hanging="202"/>
      </w:pPr>
      <w:r>
        <w:rPr>
          <w:rFonts w:ascii="Arial" w:hAnsi="Arial" w:eastAsia="Arial"/>
          <w:color w:val="061820"/>
          <w:sz w:val="20"/>
        </w:rPr>
        <w:t>Retomar cursor de paginação e limitar reprocessamento com janela incremental.</w:t>
      </w:r>
    </w:p>
    <w:p>
      <w:pPr>
        <w:pStyle w:val="ListBullet"/>
        <w:keepNext w:val="0"/>
        <w:keepLines/>
        <w:spacing w:after="70" w:line="259" w:lineRule="auto"/>
        <w:ind w:left="317" w:hanging="202"/>
      </w:pPr>
      <w:r>
        <w:rPr>
          <w:rFonts w:ascii="Arial" w:hAnsi="Arial" w:eastAsia="Arial"/>
          <w:color w:val="061820"/>
          <w:sz w:val="20"/>
        </w:rPr>
        <w:t>Registrar falha por métrica sem descartar toda a coleta quando um campo não estiver disponível.</w:t>
      </w:r>
    </w:p>
    <w:p>
      <w:pPr>
        <w:pStyle w:val="Heading1"/>
        <w:keepNext/>
        <w:keepLines/>
        <w:spacing w:before="240" w:after="120"/>
      </w:pPr>
      <w:r>
        <w:rPr>
          <w:rFonts w:ascii="Arial" w:hAnsi="Arial" w:eastAsia="Arial"/>
          <w:b/>
          <w:color w:val="000000"/>
          <w:sz w:val="34"/>
        </w:rPr>
        <w:t>Critérios de aceite</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1944"/>
            <w:shd w:fill="0D6F6A"/>
            <w:tcMar>
              <w:top w:w="105" w:type="dxa"/>
              <w:start w:w="110" w:type="dxa"/>
              <w:bottom w:w="10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center"/>
            </w:pPr>
            <w:r>
              <w:rPr>
                <w:rFonts w:ascii="Arial" w:hAnsi="Arial" w:eastAsia="Arial"/>
                <w:b/>
                <w:color w:val="FFFFFF"/>
                <w:sz w:val="18"/>
              </w:rPr>
              <w:t>Área</w:t>
            </w:r>
          </w:p>
        </w:tc>
        <w:tc>
          <w:tcPr>
            <w:tcW w:type="dxa" w:w="7704"/>
            <w:shd w:fill="0D6F6A"/>
            <w:tcMar>
              <w:top w:w="105" w:type="dxa"/>
              <w:start w:w="110" w:type="dxa"/>
              <w:bottom w:w="10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Pr>
                <w:rFonts w:ascii="Arial" w:hAnsi="Arial" w:eastAsia="Arial"/>
                <w:b/>
                <w:color w:val="FFFFFF"/>
                <w:sz w:val="18"/>
              </w:rPr>
              <w:t>Critério verificável</w:t>
            </w:r>
          </w:p>
        </w:tc>
      </w:tr>
      <w:tr>
        <w:trPr>
          <w:cantSplit/>
        </w:trPr>
        <w:tc>
          <w:tcPr>
            <w:tcW w:type="dxa" w:w="1944"/>
            <w:shd w:fill="EEF4F7"/>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center"/>
            </w:pPr>
            <w:r>
              <w:rPr>
                <w:rFonts w:ascii="Arial" w:hAnsi="Arial" w:eastAsia="Arial"/>
                <w:b/>
                <w:color w:val="061820"/>
                <w:sz w:val="17"/>
              </w:rPr>
              <w:t>Contagem</w:t>
            </w:r>
          </w:p>
        </w:tc>
        <w:tc>
          <w:tcPr>
            <w:tcW w:type="dxa" w:w="7704"/>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O mesmo ig media id nunca é contado duas vezes no mesmo agregado</w:t>
            </w:r>
          </w:p>
        </w:tc>
      </w:tr>
      <w:tr>
        <w:trPr>
          <w:cantSplit/>
        </w:trPr>
        <w:tc>
          <w:tcPr>
            <w:tcW w:type="dxa" w:w="1944"/>
            <w:shd w:fill="EEF4F7"/>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center"/>
            </w:pPr>
            <w:r>
              <w:rPr>
                <w:rFonts w:ascii="Arial" w:hAnsi="Arial" w:eastAsia="Arial"/>
                <w:b/>
                <w:color w:val="061820"/>
                <w:sz w:val="17"/>
              </w:rPr>
              <w:t>Período</w:t>
            </w:r>
          </w:p>
        </w:tc>
        <w:tc>
          <w:tcPr>
            <w:tcW w:type="dxa" w:w="7704"/>
            <w:shd w:fill="EAF7F6"/>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Conteúdo do período usa publicado em no fuso America Sao Paulo e observações respeitam o limite final</w:t>
            </w:r>
          </w:p>
        </w:tc>
      </w:tr>
      <w:tr>
        <w:trPr>
          <w:cantSplit/>
        </w:trPr>
        <w:tc>
          <w:tcPr>
            <w:tcW w:type="dxa" w:w="1944"/>
            <w:shd w:fill="EEF4F7"/>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center"/>
            </w:pPr>
            <w:r>
              <w:rPr>
                <w:rFonts w:ascii="Arial" w:hAnsi="Arial" w:eastAsia="Arial"/>
                <w:b/>
                <w:color w:val="061820"/>
                <w:sz w:val="17"/>
              </w:rPr>
              <w:t>Delta</w:t>
            </w:r>
          </w:p>
        </w:tc>
        <w:tc>
          <w:tcPr>
            <w:tcW w:type="dxa" w:w="7704"/>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A variação usa dois snapshots válidos e nunca soma valores cumulativos</w:t>
            </w:r>
          </w:p>
        </w:tc>
      </w:tr>
      <w:tr>
        <w:trPr>
          <w:cantSplit/>
        </w:trPr>
        <w:tc>
          <w:tcPr>
            <w:tcW w:type="dxa" w:w="1944"/>
            <w:shd w:fill="EEF4F7"/>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center"/>
            </w:pPr>
            <w:r>
              <w:rPr>
                <w:rFonts w:ascii="Arial" w:hAnsi="Arial" w:eastAsia="Arial"/>
                <w:b/>
                <w:color w:val="061820"/>
                <w:sz w:val="17"/>
              </w:rPr>
              <w:t>Disponibilidade</w:t>
            </w:r>
          </w:p>
        </w:tc>
        <w:tc>
          <w:tcPr>
            <w:tcW w:type="dxa" w:w="7704"/>
            <w:shd w:fill="EAF7F6"/>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Métrica ausente aparece como não disponível e não como zero</w:t>
            </w:r>
          </w:p>
        </w:tc>
      </w:tr>
      <w:tr>
        <w:trPr>
          <w:cantSplit/>
        </w:trPr>
        <w:tc>
          <w:tcPr>
            <w:tcW w:type="dxa" w:w="1944"/>
            <w:shd w:fill="EEF4F7"/>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center"/>
            </w:pPr>
            <w:r>
              <w:rPr>
                <w:rFonts w:ascii="Arial" w:hAnsi="Arial" w:eastAsia="Arial"/>
                <w:b/>
                <w:color w:val="061820"/>
                <w:sz w:val="17"/>
              </w:rPr>
              <w:t>Alcance da conta</w:t>
            </w:r>
          </w:p>
        </w:tc>
        <w:tc>
          <w:tcPr>
            <w:tcW w:type="dxa" w:w="7704"/>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O relatório usa a métrica de conta em vez de somar alcance de posts</w:t>
            </w:r>
          </w:p>
        </w:tc>
      </w:tr>
      <w:tr>
        <w:trPr>
          <w:cantSplit/>
        </w:trPr>
        <w:tc>
          <w:tcPr>
            <w:tcW w:type="dxa" w:w="1944"/>
            <w:shd w:fill="EEF4F7"/>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center"/>
            </w:pPr>
            <w:r>
              <w:rPr>
                <w:rFonts w:ascii="Arial" w:hAnsi="Arial" w:eastAsia="Arial"/>
                <w:b/>
                <w:color w:val="061820"/>
                <w:sz w:val="17"/>
              </w:rPr>
              <w:t>Comparação</w:t>
            </w:r>
          </w:p>
        </w:tc>
        <w:tc>
          <w:tcPr>
            <w:tcW w:type="dxa" w:w="7704"/>
            <w:shd w:fill="EAF7F6"/>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Todo KPI mostra base anterior diferença e tamanho da amostra quando aplicável</w:t>
            </w:r>
          </w:p>
        </w:tc>
      </w:tr>
      <w:tr>
        <w:trPr>
          <w:cantSplit/>
        </w:trPr>
        <w:tc>
          <w:tcPr>
            <w:tcW w:type="dxa" w:w="1944"/>
            <w:shd w:fill="EEF4F7"/>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center"/>
            </w:pPr>
            <w:r>
              <w:rPr>
                <w:rFonts w:ascii="Arial" w:hAnsi="Arial" w:eastAsia="Arial"/>
                <w:b/>
                <w:color w:val="061820"/>
                <w:sz w:val="17"/>
              </w:rPr>
              <w:t>Ranking</w:t>
            </w:r>
          </w:p>
        </w:tc>
        <w:tc>
          <w:tcPr>
            <w:tcW w:type="dxa" w:w="7704"/>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Conteúdos são comparados pela métrica do objetivo e por idade equivalente</w:t>
            </w:r>
          </w:p>
        </w:tc>
      </w:tr>
      <w:tr>
        <w:trPr>
          <w:cantSplit/>
        </w:trPr>
        <w:tc>
          <w:tcPr>
            <w:tcW w:type="dxa" w:w="1944"/>
            <w:shd w:fill="EEF4F7"/>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center"/>
            </w:pPr>
            <w:r>
              <w:rPr>
                <w:rFonts w:ascii="Arial" w:hAnsi="Arial" w:eastAsia="Arial"/>
                <w:b/>
                <w:color w:val="061820"/>
                <w:sz w:val="17"/>
              </w:rPr>
              <w:t>Qualidade</w:t>
            </w:r>
          </w:p>
        </w:tc>
        <w:tc>
          <w:tcPr>
            <w:tcW w:type="dxa" w:w="7704"/>
            <w:shd w:fill="EAF7F6"/>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O relatório mostra horário da coleta cobertura falhas e versão da API</w:t>
            </w:r>
          </w:p>
        </w:tc>
      </w:tr>
      <w:tr>
        <w:trPr>
          <w:cantSplit/>
        </w:trPr>
        <w:tc>
          <w:tcPr>
            <w:tcW w:type="dxa" w:w="1944"/>
            <w:shd w:fill="EEF4F7"/>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center"/>
            </w:pPr>
            <w:r>
              <w:rPr>
                <w:rFonts w:ascii="Arial" w:hAnsi="Arial" w:eastAsia="Arial"/>
                <w:b/>
                <w:color w:val="061820"/>
                <w:sz w:val="17"/>
              </w:rPr>
              <w:t>Insight</w:t>
            </w:r>
          </w:p>
        </w:tc>
        <w:tc>
          <w:tcPr>
            <w:tcW w:type="dxa" w:w="7704"/>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Cada evidência numérica é reproduzível a partir do pacote armazenado</w:t>
            </w:r>
          </w:p>
        </w:tc>
      </w:tr>
      <w:tr>
        <w:trPr>
          <w:cantSplit/>
        </w:trPr>
        <w:tc>
          <w:tcPr>
            <w:tcW w:type="dxa" w:w="1944"/>
            <w:shd w:fill="EEF4F7"/>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center"/>
            </w:pPr>
            <w:r>
              <w:rPr>
                <w:rFonts w:ascii="Arial" w:hAnsi="Arial" w:eastAsia="Arial"/>
                <w:b/>
                <w:color w:val="061820"/>
                <w:sz w:val="17"/>
              </w:rPr>
              <w:t>Confiança</w:t>
            </w:r>
          </w:p>
        </w:tc>
        <w:tc>
          <w:tcPr>
            <w:tcW w:type="dxa" w:w="7704"/>
            <w:shd w:fill="EAF7F6"/>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O modelo não consegue elevar a confiança acima do nível calculado pelo sistema</w:t>
            </w:r>
          </w:p>
        </w:tc>
      </w:tr>
      <w:tr>
        <w:trPr>
          <w:cantSplit/>
        </w:trPr>
        <w:tc>
          <w:tcPr>
            <w:tcW w:type="dxa" w:w="1944"/>
            <w:shd w:fill="EEF4F7"/>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center"/>
            </w:pPr>
            <w:r>
              <w:rPr>
                <w:rFonts w:ascii="Arial" w:hAnsi="Arial" w:eastAsia="Arial"/>
                <w:b/>
                <w:color w:val="061820"/>
                <w:sz w:val="17"/>
              </w:rPr>
              <w:t>Governança</w:t>
            </w:r>
          </w:p>
        </w:tc>
        <w:tc>
          <w:tcPr>
            <w:tcW w:type="dxa" w:w="7704"/>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Ação decisão revisão e resultado posterior ficam auditados</w:t>
            </w:r>
          </w:p>
        </w:tc>
      </w:tr>
      <w:tr>
        <w:trPr>
          <w:cantSplit/>
        </w:trPr>
        <w:tc>
          <w:tcPr>
            <w:tcW w:type="dxa" w:w="1944"/>
            <w:shd w:fill="EEF4F7"/>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center"/>
            </w:pPr>
            <w:r>
              <w:rPr>
                <w:rFonts w:ascii="Arial" w:hAnsi="Arial" w:eastAsia="Arial"/>
                <w:b/>
                <w:color w:val="061820"/>
                <w:sz w:val="17"/>
              </w:rPr>
              <w:t>Exportação</w:t>
            </w:r>
          </w:p>
        </w:tc>
        <w:tc>
          <w:tcPr>
            <w:tcW w:type="dxa" w:w="7704"/>
            <w:shd w:fill="EAF7F6"/>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O arquivo exportado contém período fuso versão dos dados e limitações</w:t>
            </w:r>
          </w:p>
        </w:tc>
      </w:tr>
    </w:tbl>
    <w:p>
      <w:pPr>
        <w:spacing w:after="0"/>
      </w:pPr>
    </w:p>
    <w:p>
      <w:pPr>
        <w:pStyle w:val="Heading2"/>
        <w:keepNext/>
        <w:keepLines/>
        <w:spacing w:before="160" w:after="80"/>
      </w:pPr>
      <w:r>
        <w:rPr>
          <w:rFonts w:ascii="Arial" w:hAnsi="Arial" w:eastAsia="Arial"/>
          <w:b/>
          <w:color w:val="000000"/>
          <w:sz w:val="25"/>
        </w:rPr>
        <w:t>Plano de testes</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1656"/>
            <w:shd w:fill="0D6F6A"/>
            <w:tcMar>
              <w:top w:w="105" w:type="dxa"/>
              <w:start w:w="110" w:type="dxa"/>
              <w:bottom w:w="10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center"/>
            </w:pPr>
            <w:r>
              <w:rPr>
                <w:rFonts w:ascii="Arial" w:hAnsi="Arial" w:eastAsia="Arial"/>
                <w:b/>
                <w:color w:val="FFFFFF"/>
                <w:sz w:val="18"/>
              </w:rPr>
              <w:t>Tipo</w:t>
            </w:r>
          </w:p>
        </w:tc>
        <w:tc>
          <w:tcPr>
            <w:tcW w:type="dxa" w:w="7992"/>
            <w:shd w:fill="0D6F6A"/>
            <w:tcMar>
              <w:top w:w="105" w:type="dxa"/>
              <w:start w:w="110" w:type="dxa"/>
              <w:bottom w:w="10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Pr>
                <w:rFonts w:ascii="Arial" w:hAnsi="Arial" w:eastAsia="Arial"/>
                <w:b/>
                <w:color w:val="FFFFFF"/>
                <w:sz w:val="18"/>
              </w:rPr>
              <w:t>Cenários mínimos</w:t>
            </w:r>
          </w:p>
        </w:tc>
      </w:tr>
      <w:tr>
        <w:trPr>
          <w:cantSplit/>
        </w:trPr>
        <w:tc>
          <w:tcPr>
            <w:tcW w:type="dxa" w:w="1656"/>
            <w:shd w:fill="EEF4F7"/>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center"/>
            </w:pPr>
            <w:r>
              <w:rPr>
                <w:rFonts w:ascii="Arial" w:hAnsi="Arial" w:eastAsia="Arial"/>
                <w:b/>
                <w:color w:val="061820"/>
                <w:sz w:val="17"/>
              </w:rPr>
              <w:t>Unidade</w:t>
            </w:r>
          </w:p>
        </w:tc>
        <w:tc>
          <w:tcPr>
            <w:tcW w:type="dxa" w:w="7992"/>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Deduplicação último valor delta taxa com alcance zero mediana janela D7 e fronteira de período</w:t>
            </w:r>
          </w:p>
        </w:tc>
      </w:tr>
      <w:tr>
        <w:trPr>
          <w:cantSplit/>
        </w:trPr>
        <w:tc>
          <w:tcPr>
            <w:tcW w:type="dxa" w:w="1656"/>
            <w:shd w:fill="EEF4F7"/>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center"/>
            </w:pPr>
            <w:r>
              <w:rPr>
                <w:rFonts w:ascii="Arial" w:hAnsi="Arial" w:eastAsia="Arial"/>
                <w:b/>
                <w:color w:val="061820"/>
                <w:sz w:val="17"/>
              </w:rPr>
              <w:t>Integração</w:t>
            </w:r>
          </w:p>
        </w:tc>
        <w:tc>
          <w:tcPr>
            <w:tcW w:type="dxa" w:w="7992"/>
            <w:shd w:fill="EAF7F6"/>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Resposta de insights por imagem carrossel Reel métrica não suportada token sem permissão limite de API e paginação parcial</w:t>
            </w:r>
          </w:p>
        </w:tc>
      </w:tr>
      <w:tr>
        <w:trPr>
          <w:cantSplit/>
        </w:trPr>
        <w:tc>
          <w:tcPr>
            <w:tcW w:type="dxa" w:w="1656"/>
            <w:shd w:fill="EEF4F7"/>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center"/>
            </w:pPr>
            <w:r>
              <w:rPr>
                <w:rFonts w:ascii="Arial" w:hAnsi="Arial" w:eastAsia="Arial"/>
                <w:b/>
                <w:color w:val="061820"/>
                <w:sz w:val="17"/>
              </w:rPr>
              <w:t>Banco</w:t>
            </w:r>
          </w:p>
        </w:tc>
        <w:tc>
          <w:tcPr>
            <w:tcW w:type="dxa" w:w="7992"/>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Unicidade RLS consultas de último snapshot e reprocessamento idempotente</w:t>
            </w:r>
          </w:p>
        </w:tc>
      </w:tr>
      <w:tr>
        <w:trPr>
          <w:cantSplit/>
        </w:trPr>
        <w:tc>
          <w:tcPr>
            <w:tcW w:type="dxa" w:w="1656"/>
            <w:shd w:fill="EEF4F7"/>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center"/>
            </w:pPr>
            <w:r>
              <w:rPr>
                <w:rFonts w:ascii="Arial" w:hAnsi="Arial" w:eastAsia="Arial"/>
                <w:b/>
                <w:color w:val="061820"/>
                <w:sz w:val="17"/>
              </w:rPr>
              <w:t>Interface</w:t>
            </w:r>
          </w:p>
        </w:tc>
        <w:tc>
          <w:tcPr>
            <w:tcW w:type="dxa" w:w="7992"/>
            <w:shd w:fill="EAF7F6"/>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Sem dados dados parciais métrica indisponível coleta atrasada comparação negativa e amostra pequena</w:t>
            </w:r>
          </w:p>
        </w:tc>
      </w:tr>
      <w:tr>
        <w:trPr>
          <w:cantSplit/>
        </w:trPr>
        <w:tc>
          <w:tcPr>
            <w:tcW w:type="dxa" w:w="1656"/>
            <w:shd w:fill="EEF4F7"/>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center"/>
            </w:pPr>
            <w:r>
              <w:rPr>
                <w:rFonts w:ascii="Arial" w:hAnsi="Arial" w:eastAsia="Arial"/>
                <w:b/>
                <w:color w:val="061820"/>
                <w:sz w:val="17"/>
              </w:rPr>
              <w:t>IA</w:t>
            </w:r>
          </w:p>
        </w:tc>
        <w:tc>
          <w:tcPr>
            <w:tcW w:type="dxa" w:w="7992"/>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Evidência inexistente JSON inválido confiança acima do permitido ausência de limitação e repetição da mesma hipótese</w:t>
            </w:r>
          </w:p>
        </w:tc>
      </w:tr>
      <w:tr>
        <w:trPr>
          <w:cantSplit/>
        </w:trPr>
        <w:tc>
          <w:tcPr>
            <w:tcW w:type="dxa" w:w="1656"/>
            <w:shd w:fill="EEF4F7"/>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center"/>
            </w:pPr>
            <w:r>
              <w:rPr>
                <w:rFonts w:ascii="Arial" w:hAnsi="Arial" w:eastAsia="Arial"/>
                <w:b/>
                <w:color w:val="061820"/>
                <w:sz w:val="17"/>
              </w:rPr>
              <w:t>Aceite</w:t>
            </w:r>
          </w:p>
        </w:tc>
        <w:tc>
          <w:tcPr>
            <w:tcW w:type="dxa" w:w="7992"/>
            <w:shd w:fill="EAF7F6"/>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Relatório recalculado a partir de um conjunto conhecido produz os mesmos números e a mesma versão</w:t>
            </w:r>
          </w:p>
        </w:tc>
      </w:tr>
    </w:tbl>
    <w:p>
      <w:pPr>
        <w:spacing w:after="0"/>
      </w:pPr>
    </w:p>
    <w:p>
      <w:pPr>
        <w:pStyle w:val="Heading1"/>
        <w:keepNext/>
        <w:keepLines/>
        <w:pageBreakBefore/>
        <w:spacing w:before="240" w:after="120"/>
      </w:pPr>
      <w:r>
        <w:rPr>
          <w:rFonts w:ascii="Arial" w:hAnsi="Arial" w:eastAsia="Arial"/>
          <w:b/>
          <w:color w:val="000000"/>
          <w:sz w:val="34"/>
        </w:rPr>
        <w:t>Riscos e controles</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736"/>
            <w:shd w:fill="0D6F6A"/>
            <w:tcMar>
              <w:top w:w="105" w:type="dxa"/>
              <w:start w:w="110" w:type="dxa"/>
              <w:bottom w:w="10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center"/>
            </w:pPr>
            <w:r>
              <w:rPr>
                <w:rFonts w:ascii="Arial" w:hAnsi="Arial" w:eastAsia="Arial"/>
                <w:b/>
                <w:color w:val="FFFFFF"/>
                <w:sz w:val="18"/>
              </w:rPr>
              <w:t>Risco</w:t>
            </w:r>
          </w:p>
        </w:tc>
        <w:tc>
          <w:tcPr>
            <w:tcW w:type="dxa" w:w="2736"/>
            <w:shd w:fill="0D6F6A"/>
            <w:tcMar>
              <w:top w:w="105" w:type="dxa"/>
              <w:start w:w="110" w:type="dxa"/>
              <w:bottom w:w="10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Pr>
                <w:rFonts w:ascii="Arial" w:hAnsi="Arial" w:eastAsia="Arial"/>
                <w:b/>
                <w:color w:val="FFFFFF"/>
                <w:sz w:val="18"/>
              </w:rPr>
              <w:t>Impacto</w:t>
            </w:r>
          </w:p>
        </w:tc>
        <w:tc>
          <w:tcPr>
            <w:tcW w:type="dxa" w:w="4176"/>
            <w:shd w:fill="0D6F6A"/>
            <w:tcMar>
              <w:top w:w="105" w:type="dxa"/>
              <w:start w:w="110" w:type="dxa"/>
              <w:bottom w:w="10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Pr>
                <w:rFonts w:ascii="Arial" w:hAnsi="Arial" w:eastAsia="Arial"/>
                <w:b/>
                <w:color w:val="FFFFFF"/>
                <w:sz w:val="18"/>
              </w:rPr>
              <w:t>Controle recomendado</w:t>
            </w:r>
          </w:p>
        </w:tc>
      </w:tr>
      <w:tr>
        <w:trPr>
          <w:cantSplit/>
        </w:trPr>
        <w:tc>
          <w:tcPr>
            <w:tcW w:type="dxa" w:w="2736"/>
            <w:shd w:fill="EEF4F7"/>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center"/>
            </w:pPr>
            <w:r>
              <w:rPr>
                <w:rFonts w:ascii="Arial" w:hAnsi="Arial" w:eastAsia="Arial"/>
                <w:b/>
                <w:color w:val="061820"/>
                <w:sz w:val="17"/>
              </w:rPr>
              <w:t>Mudança ou descontinuação de métricas da Meta</w:t>
            </w:r>
          </w:p>
        </w:tc>
        <w:tc>
          <w:tcPr>
            <w:tcW w:type="dxa" w:w="2736"/>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Campo deixa de existir ou muda de significado</w:t>
            </w:r>
          </w:p>
        </w:tc>
        <w:tc>
          <w:tcPr>
            <w:tcW w:type="dxa" w:w="4176"/>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Versionar API manter matriz de compatibilidade e testar a conta real antes de ativar</w:t>
            </w:r>
          </w:p>
        </w:tc>
      </w:tr>
      <w:tr>
        <w:trPr>
          <w:cantSplit/>
        </w:trPr>
        <w:tc>
          <w:tcPr>
            <w:tcW w:type="dxa" w:w="2736"/>
            <w:shd w:fill="EEF4F7"/>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center"/>
            </w:pPr>
            <w:r>
              <w:rPr>
                <w:rFonts w:ascii="Arial" w:hAnsi="Arial" w:eastAsia="Arial"/>
                <w:b/>
                <w:color w:val="061820"/>
                <w:sz w:val="17"/>
              </w:rPr>
              <w:t>Permissão concedida no app mas ausente no token</w:t>
            </w:r>
          </w:p>
        </w:tc>
        <w:tc>
          <w:tcPr>
            <w:tcW w:type="dxa" w:w="2736"/>
            <w:shd w:fill="EAF7F6"/>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Chamadas de insights falham</w:t>
            </w:r>
          </w:p>
        </w:tc>
        <w:tc>
          <w:tcPr>
            <w:tcW w:type="dxa" w:w="4176"/>
            <w:shd w:fill="EAF7F6"/>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Mostrar escopos efetivos reconectar conta e bloquear relatório avançado até validação</w:t>
            </w:r>
          </w:p>
        </w:tc>
      </w:tr>
      <w:tr>
        <w:trPr>
          <w:cantSplit/>
        </w:trPr>
        <w:tc>
          <w:tcPr>
            <w:tcW w:type="dxa" w:w="2736"/>
            <w:shd w:fill="EEF4F7"/>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center"/>
            </w:pPr>
            <w:r>
              <w:rPr>
                <w:rFonts w:ascii="Arial" w:hAnsi="Arial" w:eastAsia="Arial"/>
                <w:b/>
                <w:color w:val="061820"/>
                <w:sz w:val="17"/>
              </w:rPr>
              <w:t>Métricas diferentes por formato</w:t>
            </w:r>
          </w:p>
        </w:tc>
        <w:tc>
          <w:tcPr>
            <w:tcW w:type="dxa" w:w="2736"/>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Comparações inválidas</w:t>
            </w:r>
          </w:p>
        </w:tc>
        <w:tc>
          <w:tcPr>
            <w:tcW w:type="dxa" w:w="4176"/>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Usar conjunto comum por análise e declarar campos específicos de Reel ou Story</w:t>
            </w:r>
          </w:p>
        </w:tc>
      </w:tr>
      <w:tr>
        <w:trPr>
          <w:cantSplit/>
        </w:trPr>
        <w:tc>
          <w:tcPr>
            <w:tcW w:type="dxa" w:w="2736"/>
            <w:shd w:fill="EEF4F7"/>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center"/>
            </w:pPr>
            <w:r>
              <w:rPr>
                <w:rFonts w:ascii="Arial" w:hAnsi="Arial" w:eastAsia="Arial"/>
                <w:b/>
                <w:color w:val="061820"/>
                <w:sz w:val="17"/>
              </w:rPr>
              <w:t>Stories com janela curta</w:t>
            </w:r>
          </w:p>
        </w:tc>
        <w:tc>
          <w:tcPr>
            <w:tcW w:type="dxa" w:w="2736"/>
            <w:shd w:fill="EAF7F6"/>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Perda de histórico</w:t>
            </w:r>
          </w:p>
        </w:tc>
        <w:tc>
          <w:tcPr>
            <w:tcW w:type="dxa" w:w="4176"/>
            <w:shd w:fill="EAF7F6"/>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Coleta frequente e retenção local compatível com política e consentimento</w:t>
            </w:r>
          </w:p>
        </w:tc>
      </w:tr>
      <w:tr>
        <w:trPr>
          <w:cantSplit/>
        </w:trPr>
        <w:tc>
          <w:tcPr>
            <w:tcW w:type="dxa" w:w="2736"/>
            <w:shd w:fill="EEF4F7"/>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center"/>
            </w:pPr>
            <w:r>
              <w:rPr>
                <w:rFonts w:ascii="Arial" w:hAnsi="Arial" w:eastAsia="Arial"/>
                <w:b/>
                <w:color w:val="061820"/>
                <w:sz w:val="17"/>
              </w:rPr>
              <w:t>Orgânico e pago misturados</w:t>
            </w:r>
          </w:p>
        </w:tc>
        <w:tc>
          <w:tcPr>
            <w:tcW w:type="dxa" w:w="2736"/>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Resultado editorial pode ser superestimado</w:t>
            </w:r>
          </w:p>
        </w:tc>
        <w:tc>
          <w:tcPr>
            <w:tcW w:type="dxa" w:w="4176"/>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Separar quando disponível ou incluir limitação visível</w:t>
            </w:r>
          </w:p>
        </w:tc>
      </w:tr>
      <w:tr>
        <w:trPr>
          <w:cantSplit/>
        </w:trPr>
        <w:tc>
          <w:tcPr>
            <w:tcW w:type="dxa" w:w="2736"/>
            <w:shd w:fill="EEF4F7"/>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center"/>
            </w:pPr>
            <w:r>
              <w:rPr>
                <w:rFonts w:ascii="Arial" w:hAnsi="Arial" w:eastAsia="Arial"/>
                <w:b/>
                <w:color w:val="061820"/>
                <w:sz w:val="17"/>
              </w:rPr>
              <w:t>Amostra pequena</w:t>
            </w:r>
          </w:p>
        </w:tc>
        <w:tc>
          <w:tcPr>
            <w:tcW w:type="dxa" w:w="2736"/>
            <w:shd w:fill="EAF7F6"/>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Percentuais instáveis</w:t>
            </w:r>
          </w:p>
        </w:tc>
        <w:tc>
          <w:tcPr>
            <w:tcW w:type="dxa" w:w="4176"/>
            <w:shd w:fill="EAF7F6"/>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Exibir contagem usar mediana e reduzir confiança</w:t>
            </w:r>
          </w:p>
        </w:tc>
      </w:tr>
      <w:tr>
        <w:trPr>
          <w:cantSplit/>
        </w:trPr>
        <w:tc>
          <w:tcPr>
            <w:tcW w:type="dxa" w:w="2736"/>
            <w:shd w:fill="EEF4F7"/>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center"/>
            </w:pPr>
            <w:r>
              <w:rPr>
                <w:rFonts w:ascii="Arial" w:hAnsi="Arial" w:eastAsia="Arial"/>
                <w:b/>
                <w:color w:val="061820"/>
                <w:sz w:val="17"/>
              </w:rPr>
              <w:t>Atribuição indevida</w:t>
            </w:r>
          </w:p>
        </w:tc>
        <w:tc>
          <w:tcPr>
            <w:tcW w:type="dxa" w:w="2736"/>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Evento ou post recebe crédito sem prova</w:t>
            </w:r>
          </w:p>
        </w:tc>
        <w:tc>
          <w:tcPr>
            <w:tcW w:type="dxa" w:w="4176"/>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Usar linguagem de coincidência testar hipóteses e registrar fatores concorrentes</w:t>
            </w:r>
          </w:p>
        </w:tc>
      </w:tr>
      <w:tr>
        <w:trPr>
          <w:cantSplit/>
        </w:trPr>
        <w:tc>
          <w:tcPr>
            <w:tcW w:type="dxa" w:w="2736"/>
            <w:shd w:fill="EEF4F7"/>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center"/>
            </w:pPr>
            <w:r>
              <w:rPr>
                <w:rFonts w:ascii="Arial" w:hAnsi="Arial" w:eastAsia="Arial"/>
                <w:b/>
                <w:color w:val="061820"/>
                <w:sz w:val="17"/>
              </w:rPr>
              <w:t>Custo e ruído de IA</w:t>
            </w:r>
          </w:p>
        </w:tc>
        <w:tc>
          <w:tcPr>
            <w:tcW w:type="dxa" w:w="2736"/>
            <w:shd w:fill="EAF7F6"/>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Muitas hipóteses pouco úteis</w:t>
            </w:r>
          </w:p>
        </w:tc>
        <w:tc>
          <w:tcPr>
            <w:tcW w:type="dxa" w:w="4176"/>
            <w:shd w:fill="EAF7F6"/>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Executar análise determinística primeiro limitar saídas e medir aprovação utilidade e resultado</w:t>
            </w:r>
          </w:p>
        </w:tc>
      </w:tr>
    </w:tbl>
    <w:p>
      <w:pPr>
        <w:spacing w:after="0"/>
      </w:pPr>
    </w:p>
    <w:p>
      <w:pPr>
        <w:pStyle w:val="Heading2"/>
        <w:keepNext/>
        <w:keepLines/>
        <w:spacing w:before="160" w:after="80"/>
      </w:pPr>
      <w:r>
        <w:rPr>
          <w:rFonts w:ascii="Arial" w:hAnsi="Arial" w:eastAsia="Arial"/>
          <w:b/>
          <w:color w:val="000000"/>
          <w:sz w:val="25"/>
        </w:rPr>
        <w:t>Decisões recomendadas</w:t>
      </w:r>
    </w:p>
    <w:p>
      <w:pPr>
        <w:spacing w:after="80" w:line="259" w:lineRule="auto"/>
        <w:ind w:left="475" w:hanging="317"/>
      </w:pPr>
      <w:r>
        <w:rPr>
          <w:rFonts w:ascii="Arial" w:hAnsi="Arial" w:eastAsia="Arial"/>
          <w:color w:val="061820"/>
          <w:sz w:val="20"/>
        </w:rPr>
        <w:t>1.  Aprovar a Fase zero antes de qualquer redesign visual do relatório.</w:t>
      </w:r>
    </w:p>
    <w:p>
      <w:pPr>
        <w:spacing w:after="80" w:line="259" w:lineRule="auto"/>
        <w:ind w:left="475" w:hanging="317"/>
      </w:pPr>
      <w:r>
        <w:rPr>
          <w:rFonts w:ascii="Arial" w:hAnsi="Arial" w:eastAsia="Arial"/>
          <w:color w:val="061820"/>
          <w:sz w:val="20"/>
        </w:rPr>
        <w:t>2.  Validar na conta conectada quais métricas de views reach saved shares total interactions e watch time são retornadas por tipo de mídia.</w:t>
      </w:r>
    </w:p>
    <w:p>
      <w:pPr>
        <w:spacing w:after="80" w:line="259" w:lineRule="auto"/>
        <w:ind w:left="475" w:hanging="317"/>
      </w:pPr>
      <w:r>
        <w:rPr>
          <w:rFonts w:ascii="Arial" w:hAnsi="Arial" w:eastAsia="Arial"/>
          <w:color w:val="061820"/>
          <w:sz w:val="20"/>
        </w:rPr>
        <w:t>3.  Adotar visualizações alcance e taxa de interação por alcance como núcleo do resumo semanal.</w:t>
      </w:r>
    </w:p>
    <w:p>
      <w:pPr>
        <w:spacing w:after="80" w:line="259" w:lineRule="auto"/>
        <w:ind w:left="475" w:hanging="317"/>
      </w:pPr>
      <w:r>
        <w:rPr>
          <w:rFonts w:ascii="Arial" w:hAnsi="Arial" w:eastAsia="Arial"/>
          <w:color w:val="061820"/>
          <w:sz w:val="20"/>
        </w:rPr>
        <w:t>4.  Persistir o pacote analítico e limitar a IA à interpretação de evidências consolidadas.</w:t>
      </w:r>
    </w:p>
    <w:p>
      <w:pPr>
        <w:spacing w:after="80" w:line="259" w:lineRule="auto"/>
        <w:ind w:left="475" w:hanging="317"/>
      </w:pPr>
      <w:r>
        <w:rPr>
          <w:rFonts w:ascii="Arial" w:hAnsi="Arial" w:eastAsia="Arial"/>
          <w:color w:val="061820"/>
          <w:sz w:val="20"/>
        </w:rPr>
        <w:t>5.  Medir a qualidade do próprio sistema por cobertura pontualidade taxa de insights aprovados e ações concluídas.</w:t>
      </w:r>
    </w:p>
    <w:p>
      <w:pPr>
        <w:pStyle w:val="Heading2"/>
        <w:keepNext/>
        <w:keepLines/>
        <w:spacing w:before="160" w:after="80"/>
      </w:pPr>
      <w:r>
        <w:rPr>
          <w:rFonts w:ascii="Arial" w:hAnsi="Arial" w:eastAsia="Arial"/>
          <w:b/>
          <w:color w:val="000000"/>
          <w:sz w:val="25"/>
        </w:rPr>
        <w:t>Indicadores de sucesso do produto</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3096"/>
            <w:shd w:fill="0D6F6A"/>
            <w:tcMar>
              <w:top w:w="105" w:type="dxa"/>
              <w:start w:w="110" w:type="dxa"/>
              <w:bottom w:w="10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center"/>
            </w:pPr>
            <w:r>
              <w:rPr>
                <w:rFonts w:ascii="Arial" w:hAnsi="Arial" w:eastAsia="Arial"/>
                <w:b/>
                <w:color w:val="FFFFFF"/>
                <w:sz w:val="18"/>
              </w:rPr>
              <w:t>Indicador</w:t>
            </w:r>
          </w:p>
        </w:tc>
        <w:tc>
          <w:tcPr>
            <w:tcW w:type="dxa" w:w="6552"/>
            <w:shd w:fill="0D6F6A"/>
            <w:tcMar>
              <w:top w:w="105" w:type="dxa"/>
              <w:start w:w="110" w:type="dxa"/>
              <w:bottom w:w="10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Pr>
                <w:rFonts w:ascii="Arial" w:hAnsi="Arial" w:eastAsia="Arial"/>
                <w:b/>
                <w:color w:val="FFFFFF"/>
                <w:sz w:val="18"/>
              </w:rPr>
              <w:t>Objetivo inicial</w:t>
            </w:r>
          </w:p>
        </w:tc>
      </w:tr>
      <w:tr>
        <w:trPr>
          <w:cantSplit/>
        </w:trPr>
        <w:tc>
          <w:tcPr>
            <w:tcW w:type="dxa" w:w="3096"/>
            <w:shd w:fill="EEF4F7"/>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center"/>
            </w:pPr>
            <w:r>
              <w:rPr>
                <w:rFonts w:ascii="Arial" w:hAnsi="Arial" w:eastAsia="Arial"/>
                <w:b/>
                <w:color w:val="061820"/>
                <w:sz w:val="17"/>
              </w:rPr>
              <w:t>Cobertura de coleta</w:t>
            </w:r>
          </w:p>
        </w:tc>
        <w:tc>
          <w:tcPr>
            <w:tcW w:type="dxa" w:w="6552"/>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Pelo menos noventa e cinco por cento das mídias elegíveis com snapshot válido</w:t>
            </w:r>
          </w:p>
        </w:tc>
      </w:tr>
      <w:tr>
        <w:trPr>
          <w:cantSplit/>
        </w:trPr>
        <w:tc>
          <w:tcPr>
            <w:tcW w:type="dxa" w:w="3096"/>
            <w:shd w:fill="EEF4F7"/>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center"/>
            </w:pPr>
            <w:r>
              <w:rPr>
                <w:rFonts w:ascii="Arial" w:hAnsi="Arial" w:eastAsia="Arial"/>
                <w:b/>
                <w:color w:val="061820"/>
                <w:sz w:val="17"/>
              </w:rPr>
              <w:t>Pontualidade</w:t>
            </w:r>
          </w:p>
        </w:tc>
        <w:tc>
          <w:tcPr>
            <w:tcW w:type="dxa" w:w="6552"/>
            <w:shd w:fill="EAF7F6"/>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Relatório semanal disponível até o horário operacional definido</w:t>
            </w:r>
          </w:p>
        </w:tc>
      </w:tr>
      <w:tr>
        <w:trPr>
          <w:cantSplit/>
        </w:trPr>
        <w:tc>
          <w:tcPr>
            <w:tcW w:type="dxa" w:w="3096"/>
            <w:shd w:fill="EEF4F7"/>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center"/>
            </w:pPr>
            <w:r>
              <w:rPr>
                <w:rFonts w:ascii="Arial" w:hAnsi="Arial" w:eastAsia="Arial"/>
                <w:b/>
                <w:color w:val="061820"/>
                <w:sz w:val="17"/>
              </w:rPr>
              <w:t>Integridade</w:t>
            </w:r>
          </w:p>
        </w:tc>
        <w:tc>
          <w:tcPr>
            <w:tcW w:type="dxa" w:w="6552"/>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Zero dupla contagem nos testes e nas verificações de produção</w:t>
            </w:r>
          </w:p>
        </w:tc>
      </w:tr>
      <w:tr>
        <w:trPr>
          <w:cantSplit/>
        </w:trPr>
        <w:tc>
          <w:tcPr>
            <w:tcW w:type="dxa" w:w="3096"/>
            <w:shd w:fill="EEF4F7"/>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center"/>
            </w:pPr>
            <w:r>
              <w:rPr>
                <w:rFonts w:ascii="Arial" w:hAnsi="Arial" w:eastAsia="Arial"/>
                <w:b/>
                <w:color w:val="061820"/>
                <w:sz w:val="17"/>
              </w:rPr>
              <w:t>Uso</w:t>
            </w:r>
          </w:p>
        </w:tc>
        <w:tc>
          <w:tcPr>
            <w:tcW w:type="dxa" w:w="6552"/>
            <w:shd w:fill="EAF7F6"/>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Relatório aberto e revisado em cada ciclo semanal</w:t>
            </w:r>
          </w:p>
        </w:tc>
      </w:tr>
      <w:tr>
        <w:trPr>
          <w:cantSplit/>
        </w:trPr>
        <w:tc>
          <w:tcPr>
            <w:tcW w:type="dxa" w:w="3096"/>
            <w:shd w:fill="EEF4F7"/>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center"/>
            </w:pPr>
            <w:r>
              <w:rPr>
                <w:rFonts w:ascii="Arial" w:hAnsi="Arial" w:eastAsia="Arial"/>
                <w:b/>
                <w:color w:val="061820"/>
                <w:sz w:val="17"/>
              </w:rPr>
              <w:t>Qualidade do insight</w:t>
            </w:r>
          </w:p>
        </w:tc>
        <w:tc>
          <w:tcPr>
            <w:tcW w:type="dxa" w:w="6552"/>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Aprovação humana acompanhada de justificativa e baixa repetição de hipóteses</w:t>
            </w:r>
          </w:p>
        </w:tc>
      </w:tr>
      <w:tr>
        <w:trPr>
          <w:cantSplit/>
        </w:trPr>
        <w:tc>
          <w:tcPr>
            <w:tcW w:type="dxa" w:w="3096"/>
            <w:shd w:fill="EEF4F7"/>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center"/>
            </w:pPr>
            <w:r>
              <w:rPr>
                <w:rFonts w:ascii="Arial" w:hAnsi="Arial" w:eastAsia="Arial"/>
                <w:b/>
                <w:color w:val="061820"/>
                <w:sz w:val="17"/>
              </w:rPr>
              <w:t>Execução</w:t>
            </w:r>
          </w:p>
        </w:tc>
        <w:tc>
          <w:tcPr>
            <w:tcW w:type="dxa" w:w="6552"/>
            <w:shd w:fill="EAF7F6"/>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jc w:val="left"/>
            </w:pPr>
            <w:r>
              <w:rPr>
                <w:rFonts w:ascii="Arial" w:hAnsi="Arial" w:eastAsia="Arial"/>
                <w:color w:val="061820"/>
                <w:sz w:val="17"/>
              </w:rPr>
              <w:t>Ações recomendadas com dono prazo e resultado registrado</w:t>
            </w:r>
          </w:p>
        </w:tc>
      </w:tr>
    </w:tbl>
    <w:p>
      <w:pPr>
        <w:spacing w:after="0"/>
      </w:pPr>
    </w:p>
    <w:p>
      <w:pPr>
        <w:pStyle w:val="Heading1"/>
        <w:keepNext/>
        <w:keepLines/>
        <w:pageBreakBefore/>
        <w:spacing w:before="240" w:after="120"/>
      </w:pPr>
      <w:r>
        <w:rPr>
          <w:rFonts w:ascii="Arial" w:hAnsi="Arial" w:eastAsia="Arial"/>
          <w:b/>
          <w:color w:val="000000"/>
          <w:sz w:val="34"/>
        </w:rPr>
        <w:t>Fontes da análise</w:t>
      </w:r>
    </w:p>
    <w:p>
      <w:pPr>
        <w:widowControl/>
        <w:spacing w:after="140" w:line="264" w:lineRule="auto"/>
      </w:pPr>
      <w:r>
        <w:rPr>
          <w:rFonts w:ascii="Arial" w:hAnsi="Arial" w:eastAsia="Arial"/>
          <w:color w:val="061820"/>
          <w:sz w:val="21"/>
        </w:rPr>
        <w:t>A análise foi baseada no código e na documentação local do projeto. A lista oficial de métricas deve ser confirmada na versão da Graph API escolhida e na resposta real da conta conectada, pois a disponibilidade varia por endpoint formato conta permissão e versão.</w:t>
      </w:r>
    </w:p>
    <w:p>
      <w:pPr>
        <w:pStyle w:val="Heading2"/>
        <w:keepNext/>
        <w:keepLines/>
        <w:spacing w:before="160" w:after="80"/>
      </w:pPr>
      <w:r>
        <w:rPr>
          <w:rFonts w:ascii="Arial" w:hAnsi="Arial" w:eastAsia="Arial"/>
          <w:b/>
          <w:color w:val="000000"/>
          <w:sz w:val="25"/>
        </w:rPr>
        <w:t>Arquivos do sistema</w:t>
      </w:r>
    </w:p>
    <w:p>
      <w:pPr>
        <w:spacing w:after="80"/>
      </w:pPr>
      <w:r>
        <w:rPr>
          <w:rFonts w:ascii="Consolas" w:hAnsi="Consolas" w:eastAsia="Consolas"/>
          <w:b/>
          <w:color w:val="061820"/>
          <w:sz w:val="17"/>
        </w:rPr>
        <w:t>supabase/functions/marketing-importar-metricas-instagram/index.ts</w:t>
      </w:r>
      <w:r>
        <w:rPr>
          <w:rFonts w:ascii="Arial" w:hAnsi="Arial" w:eastAsia="Arial"/>
          <w:color w:val="5B666B"/>
          <w:sz w:val="18"/>
        </w:rPr>
        <w:t xml:space="preserve">  campos coletados paginação snapshots e registro da execução</w:t>
      </w:r>
    </w:p>
    <w:p>
      <w:pPr>
        <w:spacing w:after="80"/>
      </w:pPr>
      <w:r>
        <w:rPr>
          <w:rFonts w:ascii="Consolas" w:hAnsi="Consolas" w:eastAsia="Consolas"/>
          <w:b/>
          <w:color w:val="061820"/>
          <w:sz w:val="17"/>
        </w:rPr>
        <w:t>app/src/features/marketing/MetricasInstagram.tsx</w:t>
      </w:r>
      <w:r>
        <w:rPr>
          <w:rFonts w:ascii="Arial" w:hAnsi="Arial" w:eastAsia="Arial"/>
          <w:color w:val="5B666B"/>
          <w:sz w:val="18"/>
        </w:rPr>
        <w:t xml:space="preserve">  agregação e apresentação dos instantâneos</w:t>
      </w:r>
    </w:p>
    <w:p>
      <w:pPr>
        <w:spacing w:after="80"/>
      </w:pPr>
      <w:r>
        <w:rPr>
          <w:rFonts w:ascii="Consolas" w:hAnsi="Consolas" w:eastAsia="Consolas"/>
          <w:b/>
          <w:color w:val="061820"/>
          <w:sz w:val="17"/>
        </w:rPr>
        <w:t>app/src/features/marketing/RelatorioSemanal.tsx</w:t>
      </w:r>
      <w:r>
        <w:rPr>
          <w:rFonts w:ascii="Arial" w:hAnsi="Arial" w:eastAsia="Arial"/>
          <w:color w:val="5B666B"/>
          <w:sz w:val="18"/>
        </w:rPr>
        <w:t xml:space="preserve">  filtro temporal soma ranking e notas de contexto</w:t>
      </w:r>
    </w:p>
    <w:p>
      <w:pPr>
        <w:spacing w:after="80"/>
      </w:pPr>
      <w:r>
        <w:rPr>
          <w:rFonts w:ascii="Consolas" w:hAnsi="Consolas" w:eastAsia="Consolas"/>
          <w:b/>
          <w:color w:val="061820"/>
          <w:sz w:val="17"/>
        </w:rPr>
        <w:t>supabase/functions/marketing-gerar-insight/index.ts</w:t>
      </w:r>
      <w:r>
        <w:rPr>
          <w:rFonts w:ascii="Arial" w:hAnsi="Arial" w:eastAsia="Arial"/>
          <w:color w:val="5B666B"/>
          <w:sz w:val="18"/>
        </w:rPr>
        <w:t xml:space="preserve">  montagem do pacote de dados prompt confiança e persistência</w:t>
      </w:r>
    </w:p>
    <w:p>
      <w:pPr>
        <w:spacing w:after="80"/>
      </w:pPr>
      <w:r>
        <w:rPr>
          <w:rFonts w:ascii="Consolas" w:hAnsi="Consolas" w:eastAsia="Consolas"/>
          <w:b/>
          <w:color w:val="061820"/>
          <w:sz w:val="17"/>
        </w:rPr>
        <w:t>app/src/features/marketing/Insights.tsx</w:t>
      </w:r>
      <w:r>
        <w:rPr>
          <w:rFonts w:ascii="Arial" w:hAnsi="Arial" w:eastAsia="Arial"/>
          <w:color w:val="5B666B"/>
          <w:sz w:val="18"/>
        </w:rPr>
        <w:t xml:space="preserve">  revisão aprovação e descarte das hipóteses</w:t>
      </w:r>
    </w:p>
    <w:p>
      <w:pPr>
        <w:spacing w:after="80"/>
      </w:pPr>
      <w:r>
        <w:rPr>
          <w:rFonts w:ascii="Consolas" w:hAnsi="Consolas" w:eastAsia="Consolas"/>
          <w:b/>
          <w:color w:val="061820"/>
          <w:sz w:val="17"/>
        </w:rPr>
        <w:t>supabase/migrations/0018_marketing_instagram_readonly.sql</w:t>
      </w:r>
      <w:r>
        <w:rPr>
          <w:rFonts w:ascii="Arial" w:hAnsi="Arial" w:eastAsia="Arial"/>
          <w:color w:val="5B666B"/>
          <w:sz w:val="18"/>
        </w:rPr>
        <w:t xml:space="preserve">  modelo de conexão e snapshots de métricas</w:t>
      </w:r>
    </w:p>
    <w:p>
      <w:pPr>
        <w:spacing w:after="80"/>
      </w:pPr>
      <w:r>
        <w:rPr>
          <w:rFonts w:ascii="Consolas" w:hAnsi="Consolas" w:eastAsia="Consolas"/>
          <w:b/>
          <w:color w:val="061820"/>
          <w:sz w:val="17"/>
        </w:rPr>
        <w:t>supabase/migrations/0022_marketing_instagram_import_run.sql</w:t>
      </w:r>
      <w:r>
        <w:rPr>
          <w:rFonts w:ascii="Arial" w:hAnsi="Arial" w:eastAsia="Arial"/>
          <w:color w:val="5B666B"/>
          <w:sz w:val="18"/>
        </w:rPr>
        <w:t xml:space="preserve">  rastreabilidade das importações</w:t>
      </w:r>
    </w:p>
    <w:p>
      <w:pPr>
        <w:spacing w:after="80"/>
      </w:pPr>
      <w:r>
        <w:rPr>
          <w:rFonts w:ascii="Consolas" w:hAnsi="Consolas" w:eastAsia="Consolas"/>
          <w:b/>
          <w:color w:val="061820"/>
          <w:sz w:val="17"/>
        </w:rPr>
        <w:t>supabase/migrations/0025_marketing_insight.sql</w:t>
      </w:r>
      <w:r>
        <w:rPr>
          <w:rFonts w:ascii="Arial" w:hAnsi="Arial" w:eastAsia="Arial"/>
          <w:color w:val="5B666B"/>
          <w:sz w:val="18"/>
        </w:rPr>
        <w:t xml:space="preserve">  contrato e governança dos insights</w:t>
      </w:r>
    </w:p>
    <w:p>
      <w:pPr>
        <w:spacing w:after="80"/>
      </w:pPr>
      <w:r>
        <w:rPr>
          <w:rFonts w:ascii="Consolas" w:hAnsi="Consolas" w:eastAsia="Consolas"/>
          <w:b/>
          <w:color w:val="061820"/>
          <w:sz w:val="17"/>
        </w:rPr>
        <w:t>docs/agente-analista-instagram-atol.md</w:t>
      </w:r>
      <w:r>
        <w:rPr>
          <w:rFonts w:ascii="Arial" w:hAnsi="Arial" w:eastAsia="Arial"/>
          <w:color w:val="5B666B"/>
          <w:sz w:val="18"/>
        </w:rPr>
        <w:t xml:space="preserve">  objetivo analítico fontes contexto e proteções</w:t>
      </w:r>
    </w:p>
    <w:p>
      <w:pPr>
        <w:spacing w:after="80"/>
      </w:pPr>
      <w:r>
        <w:rPr>
          <w:rFonts w:ascii="Consolas" w:hAnsi="Consolas" w:eastAsia="Consolas"/>
          <w:b/>
          <w:color w:val="061820"/>
          <w:sz w:val="17"/>
        </w:rPr>
        <w:t>docs/HANDOFF-CLAUDE-CODE-ATOL.md</w:t>
      </w:r>
      <w:r>
        <w:rPr>
          <w:rFonts w:ascii="Arial" w:hAnsi="Arial" w:eastAsia="Arial"/>
          <w:color w:val="5B666B"/>
          <w:sz w:val="18"/>
        </w:rPr>
        <w:t xml:space="preserve">  estado da integração e permissões de insights</w:t>
      </w:r>
    </w:p>
    <w:p>
      <w:pPr>
        <w:pStyle w:val="Heading2"/>
        <w:keepNext/>
        <w:keepLines/>
        <w:spacing w:before="160" w:after="80"/>
      </w:pPr>
      <w:r>
        <w:rPr>
          <w:rFonts w:ascii="Arial" w:hAnsi="Arial" w:eastAsia="Arial"/>
          <w:b/>
          <w:color w:val="000000"/>
          <w:sz w:val="25"/>
        </w:rPr>
        <w:t>Referências externas</w:t>
      </w:r>
    </w:p>
    <w:p>
      <w:pPr>
        <w:spacing w:after="100"/>
      </w:pPr>
      <w:hyperlink r:id="rId12">
        <w:r>
          <w:rPr>
            <w:rFonts w:ascii="Arial" w:hAnsi="Arial"/>
            <w:color w:val="0D6F6A"/>
            <w:u w:val="single"/>
          </w:rPr>
          <w:t>Instagram Platform Insights da Meta</w:t>
        </w:r>
      </w:hyperlink>
      <w:r>
        <w:rPr>
          <w:rFonts w:ascii="Arial" w:hAnsi="Arial" w:eastAsia="Arial"/>
          <w:color w:val="5B666B"/>
          <w:sz w:val="19"/>
        </w:rPr>
        <w:t xml:space="preserve">  endpoints requisitos e limitações dos insights de conta e mídia</w:t>
      </w:r>
    </w:p>
    <w:p>
      <w:pPr>
        <w:spacing w:after="100"/>
      </w:pPr>
      <w:hyperlink r:id="rId13">
        <w:r>
          <w:rPr>
            <w:rFonts w:ascii="Arial" w:hAnsi="Arial"/>
            <w:color w:val="0D6F6A"/>
            <w:u w:val="single"/>
          </w:rPr>
          <w:t>Meta Python Business SDK InsightsResult</w:t>
        </w:r>
      </w:hyperlink>
      <w:r>
        <w:rPr>
          <w:rFonts w:ascii="Arial" w:hAnsi="Arial" w:eastAsia="Arial"/>
          <w:color w:val="5B666B"/>
          <w:sz w:val="19"/>
        </w:rPr>
        <w:t xml:space="preserve">  enumeração oficial de métricas como views reach saved shares total interactions e tempo de exibição</w:t>
      </w:r>
    </w:p>
    <w:p>
      <w:pPr>
        <w:spacing w:after="100"/>
      </w:pPr>
      <w:hyperlink r:id="rId14">
        <w:r>
          <w:rPr>
            <w:rFonts w:ascii="Arial" w:hAnsi="Arial"/>
            <w:color w:val="0D6F6A"/>
            <w:u w:val="single"/>
          </w:rPr>
          <w:t>Meta Business SDK</w:t>
        </w:r>
      </w:hyperlink>
      <w:r>
        <w:rPr>
          <w:rFonts w:ascii="Arial" w:hAnsi="Arial" w:eastAsia="Arial"/>
          <w:color w:val="5B666B"/>
          <w:sz w:val="19"/>
        </w:rPr>
        <w:t xml:space="preserve">  referência oficial para uso versionamento paginação e campos das APIs da Meta</w:t>
      </w:r>
    </w:p>
    <w:p>
      <w:pPr>
        <w:pStyle w:val="Heading2"/>
        <w:keepNext/>
        <w:keepLines/>
        <w:spacing w:before="160" w:after="80"/>
      </w:pPr>
      <w:r>
        <w:rPr>
          <w:rFonts w:ascii="Arial" w:hAnsi="Arial" w:eastAsia="Arial"/>
          <w:b/>
          <w:color w:val="000000"/>
          <w:sz w:val="25"/>
        </w:rPr>
        <w:t>Próximo passo imediato</w:t>
      </w:r>
    </w:p>
    <w:p>
      <w:pPr>
        <w:widowControl/>
        <w:spacing w:after="140" w:line="264" w:lineRule="auto"/>
      </w:pPr>
      <w:r>
        <w:rPr>
          <w:rFonts w:ascii="Arial" w:hAnsi="Arial" w:eastAsia="Arial"/>
          <w:color w:val="061820"/>
          <w:sz w:val="21"/>
        </w:rPr>
        <w:t>Transformar a Fase zero em uma especificação de implementação com consultas de deduplicação funções de cálculo testes e critérios de aceite. Em paralelo, executar uma chamada controlada de insights na conta real para fechar a matriz de métricas por formato antes de definir a migração definitiva do banco.</w:t>
      </w:r>
    </w:p>
    <w:sectPr w:rsidR="00FC693F" w:rsidRPr="0006063C" w:rsidSect="00034616">
      <w:footerReference w:type="default" r:id="rId9"/>
      <w:footerReference w:type="first" r:id="rId10"/>
      <w:pgSz w:w="12240" w:h="15840"/>
      <w:pgMar w:top="1037" w:right="1181" w:bottom="979" w:left="1181" w:header="403"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5B666B"/>
        <w:sz w:val="16"/>
      </w:rPr>
      <w:t>ATOL Studio  |  Análise de Instagram  |  15 de setembro de 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w:hAnsi="Arial"/>
      <w:color w:val="0618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hyperlink" Target="https://developers.facebook.com/docs/instagram-platform/instagram-api-with-instagram-login/insights" TargetMode="External"/><Relationship Id="rId13" Type="http://schemas.openxmlformats.org/officeDocument/2006/relationships/hyperlink" Target="https://github.com/facebook/facebook-python-business-sdk/blob/main/facebook_business/adobjects/insightsresult.py" TargetMode="External"/><Relationship Id="rId14" Type="http://schemas.openxmlformats.org/officeDocument/2006/relationships/hyperlink" Target="https://github.com/facebook/facebook-nodejs-business-sd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Melhoria da análise do Instagram no ATOL Studio</dc:title>
  <dc:subject>Diagnóstico técnico e proposta de relatórios e insights</dc:subject>
  <dc:creator>ATOL Studio</dc:creator>
  <cp:keywords>Instagram, visualizações, alcance, relatórios, insights, ATOL Studio</cp:keywords>
  <dc:description>generated by python-docx</dc:description>
  <cp:lastModifiedBy/>
  <cp:revision>1</cp:revision>
  <dcterms:created xsi:type="dcterms:W3CDTF">2013-12-23T23:15:00Z</dcterms:created>
  <dcterms:modified xsi:type="dcterms:W3CDTF">2013-12-23T23:15:00Z</dcterms:modified>
  <cp:category/>
</cp:coreProperties>
</file>