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blHeader w:val="false"/>
        </w:trPr>
        <w:tc>
          <w:tcPr>
            <w:tcW w:type="dxa" w:w="10080"/>
            <w:tcBorders>
              <w:top w:val="none" w:color="FFFFFF" w:sz="0"/>
              <w:left w:val="none" w:color="FFFFFF" w:sz="0"/>
              <w:bottom w:val="none" w:color="FFFFFF" w:sz="0"/>
              <w:right w:val="none" w:color="FFFFFF" w:sz="0"/>
            </w:tcBorders>
            <w:shd w:fill="0A1628" w:val="clear"/>
            <w:tcMar>
              <w:top w:type="dxa" w:w="480"/>
              <w:left w:type="dxa" w:w="400"/>
              <w:bottom w:type="dxa" w:w="400"/>
              <w:right w:type="dxa" w:w="400"/>
            </w:tcMar>
          </w:tcPr>
          <w:p>
            <w:pPr>
              <w:spacing w:after="160" w:before="0"/>
              <w:jc w:val="center"/>
            </w:pPr>
            <w:r>
              <w:drawing>
                <wp:inline distT="0" distB="0" distL="0" distR="0">
                  <wp:extent cx="1333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409700"/>
                          </a:xfrm>
                          <a:prstGeom prst="rect">
                            <a:avLst/>
                          </a:prstGeom>
                        </pic:spPr>
                      </pic:pic>
                    </a:graphicData>
                  </a:graphic>
                </wp:inline>
              </w:drawing>
            </w:r>
          </w:p>
          <w:p>
            <w:pPr>
              <w:spacing w:after="60" w:before="0"/>
              <w:jc w:val="center"/>
            </w:pPr>
            <w:r>
              <w:rPr>
                <w:rFonts w:ascii="Arial" w:cs="Arial" w:eastAsia="Arial" w:hAnsi="Arial"/>
                <w:b/>
                <w:bCs/>
                <w:i w:val="false"/>
                <w:iCs w:val="false"/>
                <w:color w:val="FFFFFF"/>
                <w:sz w:val="72"/>
                <w:szCs w:val="72"/>
              </w:rPr>
              <w:t xml:space="preserve">KINEXIS</w:t>
            </w:r>
          </w:p>
          <w:p>
            <w:pPr>
              <w:spacing w:after="60" w:before="0"/>
              <w:jc w:val="center"/>
            </w:pPr>
            <w:r>
              <w:rPr>
                <w:rFonts w:ascii="Arial" w:cs="Arial" w:eastAsia="Arial" w:hAnsi="Arial"/>
                <w:b/>
                <w:bCs/>
                <w:i w:val="false"/>
                <w:iCs w:val="false"/>
                <w:color w:val="7BC144"/>
                <w:sz w:val="34"/>
                <w:szCs w:val="34"/>
              </w:rPr>
              <w:t xml:space="preserve">INTEGRATION AGENT</w:t>
            </w:r>
          </w:p>
          <w:p>
            <w:pPr>
              <w:spacing w:after="100" w:before="0"/>
              <w:jc w:val="center"/>
            </w:pPr>
            <w:r>
              <w:rPr>
                <w:rFonts w:ascii="Arial" w:cs="Arial" w:eastAsia="Arial" w:hAnsi="Arial"/>
                <w:b w:val="false"/>
                <w:bCs w:val="false"/>
                <w:i/>
                <w:iCs/>
                <w:color w:val="E2E8F0"/>
                <w:sz w:val="22"/>
                <w:szCs w:val="22"/>
              </w:rPr>
              <w:t xml:space="preserve">Guía Completa de Configuración via Dashboard</w:t>
            </w:r>
          </w:p>
          <w:p>
            <w:pPr>
              <w:spacing w:after="0" w:before="0"/>
              <w:jc w:val="center"/>
            </w:pPr>
            <w:r>
              <w:rPr>
                <w:rFonts w:ascii="Arial" w:cs="Arial" w:eastAsia="Arial" w:hAnsi="Arial"/>
                <w:b w:val="false"/>
                <w:bCs w:val="false"/>
                <w:i w:val="false"/>
                <w:iCs w:val="false"/>
                <w:color w:val="718096"/>
                <w:sz w:val="18"/>
                <w:szCs w:val="18"/>
              </w:rPr>
              <w:t xml:space="preserve">Sin tocar código — Para instaladores, partners y administradores</w:t>
            </w:r>
          </w:p>
        </w:tc>
      </w:tr>
    </w:tbl>
    <w:p>
      <w:pPr>
        <w:spacing w:after="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rPr>
          <w:tblHeader w:val="false"/>
        </w:trPr>
        <w:tc>
          <w:tcPr>
            <w:tcW w:type="dxa" w:w="160"/>
            <w:tcBorders>
              <w:top w:val="none" w:color="FFFFFF" w:sz="0"/>
              <w:left w:val="none" w:color="FFFFFF" w:sz="0"/>
              <w:bottom w:val="none" w:color="FFFFFF" w:sz="0"/>
              <w:right w:val="none" w:color="FFFFFF" w:sz="0"/>
            </w:tcBorders>
            <w:shd w:fill="7BC144" w:val="clear"/>
            <w:tcMar>
              <w:top w:type="dxa" w:w="0"/>
              <w:left w:type="dxa" w:w="0"/>
              <w:bottom w:type="dxa" w:w="0"/>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c>
          <w:tcPr>
            <w:tcW w:type="dxa" w:w="9200"/>
            <w:tcBorders>
              <w:top w:val="single" w:color="CBD5E0" w:sz="1"/>
              <w:left w:val="none" w:color="FFFFFF" w:sz="0"/>
              <w:bottom w:val="single" w:color="CBD5E0" w:sz="1"/>
              <w:right w:val="single" w:color="CBD5E0" w:sz="1"/>
            </w:tcBorders>
            <w:shd w:fill="EBF8D9" w:val="clear"/>
            <w:tcMar>
              <w:top w:type="dxa" w:w="120"/>
              <w:left w:type="dxa" w:w="200"/>
              <w:bottom w:type="dxa" w:w="120"/>
              <w:right w:type="dxa" w:w="160"/>
            </w:tcMar>
          </w:tcPr>
          <w:p>
            <w:pPr>
              <w:spacing w:after="80" w:before="0"/>
              <w:jc w:val="left"/>
            </w:pPr>
            <w:r>
              <w:rPr>
                <w:rFonts w:ascii="Arial" w:cs="Arial" w:eastAsia="Arial" w:hAnsi="Arial"/>
                <w:b/>
                <w:bCs/>
                <w:i w:val="false"/>
                <w:iCs w:val="false"/>
                <w:color w:val="7BC144"/>
                <w:sz w:val="19"/>
                <w:szCs w:val="19"/>
              </w:rPr>
              <w:t xml:space="preserve">Para quién es este documento</w:t>
            </w:r>
          </w:p>
          <w:p>
            <w:pPr>
              <w:spacing w:after="50" w:before="0"/>
              <w:jc w:val="left"/>
            </w:pPr>
            <w:r>
              <w:rPr>
                <w:rFonts w:ascii="Arial" w:cs="Arial" w:eastAsia="Arial" w:hAnsi="Arial"/>
                <w:b w:val="false"/>
                <w:bCs w:val="false"/>
                <w:i w:val="false"/>
                <w:iCs w:val="false"/>
                <w:color w:val="1A202C"/>
                <w:sz w:val="18"/>
                <w:szCs w:val="18"/>
              </w:rPr>
              <w:t xml:space="preserve">Instaladores de KINEXIS: sigan este documento de principio a fin para onboardear un nuevo cliente.</w:t>
            </w:r>
          </w:p>
          <w:p>
            <w:pPr>
              <w:spacing w:after="50" w:before="0"/>
              <w:jc w:val="left"/>
            </w:pPr>
            <w:r>
              <w:rPr>
                <w:rFonts w:ascii="Arial" w:cs="Arial" w:eastAsia="Arial" w:hAnsi="Arial"/>
                <w:b w:val="false"/>
                <w:bCs w:val="false"/>
                <w:i w:val="false"/>
                <w:iCs w:val="false"/>
                <w:color w:val="1A202C"/>
                <w:sz w:val="18"/>
                <w:szCs w:val="18"/>
              </w:rPr>
              <w:t xml:space="preserve">Administradores del sistema: úsenlo para modificar configuración post-onboarding.</w:t>
            </w:r>
          </w:p>
          <w:p>
            <w:pPr>
              <w:spacing w:after="50" w:before="0"/>
              <w:jc w:val="left"/>
            </w:pPr>
            <w:r>
              <w:rPr>
                <w:rFonts w:ascii="Arial" w:cs="Arial" w:eastAsia="Arial" w:hAnsi="Arial"/>
                <w:b w:val="false"/>
                <w:bCs w:val="false"/>
                <w:i w:val="false"/>
                <w:iCs w:val="false"/>
                <w:color w:val="1A202C"/>
                <w:sz w:val="18"/>
                <w:szCs w:val="18"/>
              </w:rPr>
              <w:t xml:space="preserve">Agentes IA (Claude/Gemini): referencia de qué configura el dashboard y cómo está estructurada la BD.</w:t>
            </w:r>
          </w:p>
          <w:p>
            <w:pPr>
              <w:spacing w:after="50" w:before="0"/>
              <w:jc w:val="left"/>
            </w:pPr>
            <w:r>
              <w:rPr>
                <w:rFonts w:ascii="Arial" w:cs="Arial" w:eastAsia="Arial" w:hAnsi="Arial"/>
                <w:b w:val="false"/>
                <w:bCs w:val="false"/>
                <w:i w:val="false"/>
                <w:iCs w:val="false"/>
                <w:color w:val="1A202C"/>
                <w:sz w:val="18"/>
                <w:szCs w:val="18"/>
              </w:rPr>
              <w:t xml:space="preserve">Desarrolladores: especificación de cada pantalla del dashboard que deben implementar.</w:t>
            </w:r>
          </w:p>
          <w:p>
            <w:pPr>
              <w:spacing w:after="50" w:before="0"/>
              <w:jc w:val="left"/>
            </w:pPr>
            <w:r>
              <w:rPr>
                <w:rFonts w:ascii="Arial" w:cs="Arial" w:eastAsia="Arial" w:hAnsi="Arial"/>
                <w:b w:val="false"/>
                <w:bCs w:val="false"/>
                <w:i w:val="false"/>
                <w:iCs w:val="false"/>
                <w:color w:val="1A202C"/>
                <w:sz w:val="18"/>
                <w:szCs w:val="18"/>
              </w:rPr>
              <w:t xml:space="preserve">Regla de oro: si algo requiere modificar código fuente para configurar un cliente, es un BUG del Integration Agent.</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Sección</w:t>
            </w:r>
          </w:p>
        </w:tc>
        <w:tc>
          <w:tcPr>
            <w:tcW w:type="dxa" w:w="85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Contenido</w:t>
            </w:r>
          </w:p>
        </w:tc>
      </w:tr>
      <w:tr>
        <w:trPr>
          <w:tblHeader w:val="false"/>
        </w:trPr>
        <w:tc>
          <w:tcPr>
            <w:tcW w:type="dxa" w:w="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w:t>
            </w:r>
          </w:p>
        </w:tc>
        <w:tc>
          <w:tcPr>
            <w:tcW w:type="dxa" w:w="85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Principios — por qué dashboard y no código</w:t>
            </w:r>
          </w:p>
        </w:tc>
      </w:tr>
      <w:tr>
        <w:trPr>
          <w:tblHeader w:val="false"/>
        </w:trPr>
        <w:tc>
          <w:tcPr>
            <w:tcW w:type="dxa" w:w="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w:t>
            </w:r>
          </w:p>
        </w:tc>
        <w:tc>
          <w:tcPr>
            <w:tcW w:type="dxa" w:w="85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Flujo completo de onboarding (&lt;30 min) — paso a paso</w:t>
            </w:r>
          </w:p>
        </w:tc>
      </w:tr>
      <w:tr>
        <w:trPr>
          <w:tblHeader w:val="false"/>
        </w:trPr>
        <w:tc>
          <w:tcPr>
            <w:tcW w:type="dxa" w:w="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3</w:t>
            </w:r>
          </w:p>
        </w:tc>
        <w:tc>
          <w:tcPr>
            <w:tcW w:type="dxa" w:w="85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Pantalla: Datos de la Empresa y Configuración Fiscal (CFDI)</w:t>
            </w:r>
          </w:p>
        </w:tc>
      </w:tr>
      <w:tr>
        <w:trPr>
          <w:tblHeader w:val="false"/>
        </w:trPr>
        <w:tc>
          <w:tcPr>
            <w:tcW w:type="dxa" w:w="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4</w:t>
            </w:r>
          </w:p>
        </w:tc>
        <w:tc>
          <w:tcPr>
            <w:tcW w:type="dxa" w:w="85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Pantalla: Mercado Libre — Conexión OAuth</w:t>
            </w:r>
          </w:p>
        </w:tc>
      </w:tr>
      <w:tr>
        <w:trPr>
          <w:tblHeader w:val="false"/>
        </w:trPr>
        <w:tc>
          <w:tcPr>
            <w:tcW w:type="dxa" w:w="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5</w:t>
            </w:r>
          </w:p>
        </w:tc>
        <w:tc>
          <w:tcPr>
            <w:tcW w:type="dxa" w:w="85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Pantalla: Amazon Selling Partner API</w:t>
            </w:r>
          </w:p>
        </w:tc>
      </w:tr>
      <w:tr>
        <w:trPr>
          <w:tblHeader w:val="false"/>
        </w:trPr>
        <w:tc>
          <w:tcPr>
            <w:tcW w:type="dxa" w:w="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6</w:t>
            </w:r>
          </w:p>
        </w:tc>
        <w:tc>
          <w:tcPr>
            <w:tcW w:type="dxa" w:w="85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Pantalla: Shopify — Integración</w:t>
            </w:r>
          </w:p>
        </w:tc>
      </w:tr>
      <w:tr>
        <w:trPr>
          <w:tblHeader w:val="false"/>
        </w:trPr>
        <w:tc>
          <w:tcPr>
            <w:tcW w:type="dxa" w:w="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7</w:t>
            </w:r>
          </w:p>
        </w:tc>
        <w:tc>
          <w:tcPr>
            <w:tcW w:type="dxa" w:w="85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Pantalla: Meta Business Platform (Instagram + WhatsApp + Facebook)</w:t>
            </w:r>
          </w:p>
        </w:tc>
      </w:tr>
      <w:tr>
        <w:trPr>
          <w:tblHeader w:val="false"/>
        </w:trPr>
        <w:tc>
          <w:tcPr>
            <w:tcW w:type="dxa" w:w="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8</w:t>
            </w:r>
          </w:p>
        </w:tc>
        <w:tc>
          <w:tcPr>
            <w:tcW w:type="dxa" w:w="85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Pantalla: Facturapi — Facturación Electrónica</w:t>
            </w:r>
          </w:p>
        </w:tc>
      </w:tr>
      <w:tr>
        <w:trPr>
          <w:tblHeader w:val="false"/>
        </w:trPr>
        <w:tc>
          <w:tcPr>
            <w:tcW w:type="dxa" w:w="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9</w:t>
            </w:r>
          </w:p>
        </w:tc>
        <w:tc>
          <w:tcPr>
            <w:tcW w:type="dxa" w:w="85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Pantalla: Catálogo de Productos y Migración Aspel SAE</w:t>
            </w:r>
          </w:p>
        </w:tc>
      </w:tr>
      <w:tr>
        <w:trPr>
          <w:tblHeader w:val="false"/>
        </w:trPr>
        <w:tc>
          <w:tcPr>
            <w:tcW w:type="dxa" w:w="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10</w:t>
            </w:r>
          </w:p>
        </w:tc>
        <w:tc>
          <w:tcPr>
            <w:tcW w:type="dxa" w:w="85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Pantalla: Reglas de Negocio — Márgenes, Límites y Autonomía</w:t>
            </w:r>
          </w:p>
        </w:tc>
      </w:tr>
      <w:tr>
        <w:trPr>
          <w:tblHeader w:val="false"/>
        </w:trPr>
        <w:tc>
          <w:tcPr>
            <w:tcW w:type="dxa" w:w="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11</w:t>
            </w:r>
          </w:p>
        </w:tc>
        <w:tc>
          <w:tcPr>
            <w:tcW w:type="dxa" w:w="85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Pantalla: Proveedores Aprobados</w:t>
            </w:r>
          </w:p>
        </w:tc>
      </w:tr>
      <w:tr>
        <w:trPr>
          <w:tblHeader w:val="false"/>
        </w:trPr>
        <w:tc>
          <w:tcPr>
            <w:tcW w:type="dxa" w:w="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12</w:t>
            </w:r>
          </w:p>
        </w:tc>
        <w:tc>
          <w:tcPr>
            <w:tcW w:type="dxa" w:w="85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Pantalla: Almacén — Configuración de Impresora Térmica</w:t>
            </w:r>
          </w:p>
        </w:tc>
      </w:tr>
      <w:tr>
        <w:trPr>
          <w:tblHeader w:val="false"/>
        </w:trPr>
        <w:tc>
          <w:tcPr>
            <w:tcW w:type="dxa" w:w="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13</w:t>
            </w:r>
          </w:p>
        </w:tc>
        <w:tc>
          <w:tcPr>
            <w:tcW w:type="dxa" w:w="85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Pantalla: Portal de Contadores — Acceso Fiscal</w:t>
            </w:r>
          </w:p>
        </w:tc>
      </w:tr>
      <w:tr>
        <w:trPr>
          <w:tblHeader w:val="false"/>
        </w:trPr>
        <w:tc>
          <w:tcPr>
            <w:tcW w:type="dxa" w:w="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14</w:t>
            </w:r>
          </w:p>
        </w:tc>
        <w:tc>
          <w:tcPr>
            <w:tcW w:type="dxa" w:w="85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Pantalla: Activación de Módulos y Agentes</w:t>
            </w:r>
          </w:p>
        </w:tc>
      </w:tr>
      <w:tr>
        <w:trPr>
          <w:tblHeader w:val="false"/>
        </w:trPr>
        <w:tc>
          <w:tcPr>
            <w:tcW w:type="dxa" w:w="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15</w:t>
            </w:r>
          </w:p>
        </w:tc>
        <w:tc>
          <w:tcPr>
            <w:tcW w:type="dxa" w:w="85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Gestión post-onboarding — Modificar configuración existente</w:t>
            </w:r>
          </w:p>
        </w:tc>
      </w:tr>
      <w:tr>
        <w:trPr>
          <w:tblHeader w:val="false"/>
        </w:trPr>
        <w:tc>
          <w:tcPr>
            <w:tcW w:type="dxa" w:w="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16</w:t>
            </w:r>
          </w:p>
        </w:tc>
        <w:tc>
          <w:tcPr>
            <w:tcW w:type="dxa" w:w="85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Troubleshooting — Errores frecuentes y cómo resolverlos</w:t>
            </w:r>
          </w:p>
        </w:tc>
      </w:tr>
    </w:tbl>
    <w:p>
      <w:r>
        <w:br w:type="page"/>
      </w:r>
    </w:p>
    <w:p>
      <w:pPr>
        <w:pStyle w:val="Heading1"/>
        <w:spacing w:after="220" w:before="440"/>
      </w:pPr>
      <w:r>
        <w:rPr>
          <w:rFonts w:ascii="Arial" w:cs="Arial" w:eastAsia="Arial" w:hAnsi="Arial"/>
          <w:b/>
          <w:bCs/>
          <w:i w:val="false"/>
          <w:iCs w:val="false"/>
          <w:color w:val="0A1628"/>
          <w:sz w:val="38"/>
          <w:szCs w:val="38"/>
        </w:rPr>
        <w:t xml:space="preserve">1. PRINCIPIOS — POR QUÉ DASHBOARD Y NO CÓDIGO</w:t>
      </w:r>
    </w:p>
    <w:p>
      <w:pPr>
        <w:spacing w:after="120" w:before="0"/>
        <w:jc w:val="left"/>
      </w:pPr>
      <w:r>
        <w:rPr>
          <w:rFonts w:ascii="Arial" w:cs="Arial" w:eastAsia="Arial" w:hAnsi="Arial"/>
          <w:b w:val="false"/>
          <w:bCs w:val="false"/>
          <w:i w:val="false"/>
          <w:iCs w:val="false"/>
          <w:color w:val="1A202C"/>
          <w:sz w:val="20"/>
          <w:szCs w:val="20"/>
        </w:rPr>
        <w:t xml:space="preserve">KINEXIS está diseñado para que la configuración de un nuevo cliente sea completamente independiente del ciclo de desarrollo. Esto significa que agregar Kap Tools, o cualquier otro cliente futuro, nunca requiere un deploy, un PR, ni modificar una variable de entorno.</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rPr>
          <w:tblHeader w:val="false"/>
        </w:trPr>
        <w:tc>
          <w:tcPr>
            <w:tcW w:type="dxa" w:w="160"/>
            <w:tcBorders>
              <w:top w:val="none" w:color="FFFFFF" w:sz="0"/>
              <w:left w:val="none" w:color="FFFFFF" w:sz="0"/>
              <w:bottom w:val="none" w:color="FFFFFF" w:sz="0"/>
              <w:right w:val="none" w:color="FFFFFF" w:sz="0"/>
            </w:tcBorders>
            <w:shd w:fill="C53030" w:val="clear"/>
            <w:tcMar>
              <w:top w:type="dxa" w:w="0"/>
              <w:left w:type="dxa" w:w="0"/>
              <w:bottom w:type="dxa" w:w="0"/>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c>
          <w:tcPr>
            <w:tcW w:type="dxa" w:w="9200"/>
            <w:tcBorders>
              <w:top w:val="single" w:color="CBD5E0" w:sz="1"/>
              <w:left w:val="none" w:color="FFFFFF" w:sz="0"/>
              <w:bottom w:val="single" w:color="CBD5E0" w:sz="1"/>
              <w:right w:val="single" w:color="CBD5E0" w:sz="1"/>
            </w:tcBorders>
            <w:shd w:fill="FFF5F5" w:val="clear"/>
            <w:tcMar>
              <w:top w:type="dxa" w:w="120"/>
              <w:left w:type="dxa" w:w="200"/>
              <w:bottom w:type="dxa" w:w="120"/>
              <w:right w:type="dxa" w:w="160"/>
            </w:tcMar>
          </w:tcPr>
          <w:p>
            <w:pPr>
              <w:spacing w:after="80" w:before="0"/>
              <w:jc w:val="left"/>
            </w:pPr>
            <w:r>
              <w:rPr>
                <w:rFonts w:ascii="Arial" w:cs="Arial" w:eastAsia="Arial" w:hAnsi="Arial"/>
                <w:b/>
                <w:bCs/>
                <w:i w:val="false"/>
                <w:iCs w:val="false"/>
                <w:color w:val="C53030"/>
                <w:sz w:val="19"/>
                <w:szCs w:val="19"/>
              </w:rPr>
              <w:t xml:space="preserve">La Regla de Oro</w:t>
            </w:r>
          </w:p>
          <w:p>
            <w:pPr>
              <w:spacing w:after="50" w:before="0"/>
              <w:jc w:val="left"/>
            </w:pPr>
            <w:r>
              <w:rPr>
                <w:rFonts w:ascii="Arial" w:cs="Arial" w:eastAsia="Arial" w:hAnsi="Arial"/>
                <w:b w:val="false"/>
                <w:bCs w:val="false"/>
                <w:i w:val="false"/>
                <w:iCs w:val="false"/>
                <w:color w:val="1A202C"/>
                <w:sz w:val="18"/>
                <w:szCs w:val="18"/>
              </w:rPr>
              <w:t xml:space="preserve">Si algo requiere modificar código fuente o hacer un deploy para configurar un cliente, es un bug del Integration Agent — no una limitación del sistema.</w:t>
            </w:r>
          </w:p>
          <w:p>
            <w:pPr>
              <w:spacing w:after="50" w:before="0"/>
              <w:jc w:val="left"/>
            </w:pPr>
            <w:r>
              <w:rPr>
                <w:rFonts w:ascii="Arial" w:cs="Arial" w:eastAsia="Arial" w:hAnsi="Arial"/>
                <w:b w:val="false"/>
                <w:bCs w:val="false"/>
                <w:i w:val="false"/>
                <w:iCs w:val="false"/>
                <w:color w:val="1A202C"/>
                <w:sz w:val="18"/>
                <w:szCs w:val="18"/>
              </w:rPr>
              <w:t xml:space="preserve">Toda la inteligencia de negocio de cada cliente vive en la base de datos, encriptada y aislada.</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400"/>
        <w:gridCol w:w="2360"/>
      </w:tblGrid>
      <w:tr>
        <w:trPr>
          <w:tblHeader/>
        </w:trPr>
        <w:tc>
          <w:tcPr>
            <w:tcW w:type="dxa" w:w="32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¿Dónde vive cada dato?</w:t>
            </w:r>
          </w:p>
        </w:tc>
        <w:tc>
          <w:tcPr>
            <w:tcW w:type="dxa" w:w="24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Tabla Supabase</w:t>
            </w:r>
          </w:p>
        </w:tc>
        <w:tc>
          <w:tcPr>
            <w:tcW w:type="dxa" w:w="14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¿Encriptado?</w:t>
            </w:r>
          </w:p>
        </w:tc>
        <w:tc>
          <w:tcPr>
            <w:tcW w:type="dxa" w:w="23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¿Editable en dashboard?</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API keys de plataformas (ML, Amazon, Meta, etc.)</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platform_credentials</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 — Vault pgsodium</w:t>
            </w:r>
          </w:p>
        </w:tc>
        <w:tc>
          <w:tcPr>
            <w:tcW w:type="dxa" w:w="2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 — pantalla Integraciones</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API key de Facturapi</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cfdi_tenant_config</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 — Vault pgsodium</w:t>
            </w:r>
          </w:p>
        </w:tc>
        <w:tc>
          <w:tcPr>
            <w:tcW w:type="dxa" w:w="2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 — pantalla CFDI</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RFC, CP, régimen fiscal del emisor</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cfdi_tenant_config</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No (datos públicos)</w:t>
            </w:r>
          </w:p>
        </w:tc>
        <w:tc>
          <w:tcPr>
            <w:tcW w:type="dxa" w:w="2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 — pantalla Empresa</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Márgenes mínimos de venta por plataforma</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tenant_business_rules</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No</w:t>
            </w:r>
          </w:p>
        </w:tc>
        <w:tc>
          <w:tcPr>
            <w:tcW w:type="dxa" w:w="2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 — pantalla Reglas</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Límites de autonomía (montos que requieren aprobación)</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tenant_business_rules</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No</w:t>
            </w:r>
          </w:p>
        </w:tc>
        <w:tc>
          <w:tcPr>
            <w:tcW w:type="dxa" w:w="2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 — pantalla Reglas</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Lista de proveedores aprobados</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approved_suppliers</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No</w:t>
            </w:r>
          </w:p>
        </w:tc>
        <w:tc>
          <w:tcPr>
            <w:tcW w:type="dxa" w:w="2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 — pantalla Proveedores</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Claves SAT por SKU</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product_sat_keys</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No</w:t>
            </w:r>
          </w:p>
        </w:tc>
        <w:tc>
          <w:tcPr>
            <w:tcW w:type="dxa" w:w="2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 — pantalla Catálogo</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Catálogo de productos e inventario inicial</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products + inventory</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No</w:t>
            </w:r>
          </w:p>
        </w:tc>
        <w:tc>
          <w:tcPr>
            <w:tcW w:type="dxa" w:w="2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 — carga de Excel</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IP y protocolo de impresora térmica</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tenant_config</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No</w:t>
            </w:r>
          </w:p>
        </w:tc>
        <w:tc>
          <w:tcPr>
            <w:tcW w:type="dxa" w:w="2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 — pantalla Almacén</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Qué módulos y agentes están activos</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tenant_agent_config</w:t>
            </w:r>
          </w:p>
        </w:tc>
        <w:tc>
          <w:tcPr>
            <w:tcW w:type="dxa" w:w="1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No</w:t>
            </w:r>
          </w:p>
        </w:tc>
        <w:tc>
          <w:tcPr>
            <w:tcW w:type="dxa" w:w="2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 — pantalla Módulos</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Usuarios del tenant y sus roles</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user_profiles</w:t>
            </w:r>
          </w:p>
        </w:tc>
        <w:tc>
          <w:tcPr>
            <w:tcW w:type="dxa" w:w="1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No</w:t>
            </w:r>
          </w:p>
        </w:tc>
        <w:tc>
          <w:tcPr>
            <w:tcW w:type="dxa" w:w="2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Sí — pantalla Usuarios</w:t>
            </w:r>
          </w:p>
        </w:tc>
      </w:tr>
    </w:tbl>
    <w:p>
      <w:pPr>
        <w:spacing w:after="0"/>
      </w:pPr>
      <w:r>
        <w:t xml:space="preserve"/>
      </w:r>
    </w:p>
    <w:p>
      <w:pPr>
        <w:spacing w:after="120" w:before="0"/>
        <w:jc w:val="left"/>
      </w:pPr>
      <w:r>
        <w:rPr>
          <w:rFonts w:ascii="Arial" w:cs="Arial" w:eastAsia="Arial" w:hAnsi="Arial"/>
          <w:b/>
          <w:bCs/>
          <w:i w:val="false"/>
          <w:iCs w:val="false"/>
          <w:color w:val="1A202C"/>
          <w:sz w:val="18"/>
          <w:szCs w:val="18"/>
        </w:rPr>
        <w:t xml:space="preserve">Estructura de la tabla platform_credentials — todo lo que importa sobre cómo se guardan los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pacing w:after="40" w:before="0"/>
              <w:jc w:val="left"/>
            </w:pPr>
            <w:r>
              <w:rPr>
                <w:rFonts w:ascii="Courier New" w:cs="Courier New" w:eastAsia="Courier New" w:hAnsi="Courier New"/>
                <w:b w:val="false"/>
                <w:bCs w:val="false"/>
                <w:i w:val="false"/>
                <w:iCs w:val="false"/>
                <w:color w:val="6C7086"/>
                <w:sz w:val="17"/>
                <w:szCs w:val="17"/>
              </w:rPr>
              <w:t xml:space="preserve">-- migrations/004_platform_credentials.sql</w:t>
            </w:r>
          </w:p>
          <w:p>
            <w:pPr>
              <w:spacing w:after="40" w:before="0"/>
              <w:jc w:val="left"/>
            </w:pPr>
            <w:r>
              <w:rPr>
                <w:rFonts w:ascii="Courier New" w:cs="Courier New" w:eastAsia="Courier New" w:hAnsi="Courier New"/>
                <w:b w:val="false"/>
                <w:bCs w:val="false"/>
                <w:i w:val="false"/>
                <w:iCs w:val="false"/>
                <w:color w:val="A6E3A1"/>
                <w:sz w:val="17"/>
                <w:szCs w:val="17"/>
              </w:rPr>
              <w:t xml:space="preserve">CREATE TABLE platform_credentials (</w:t>
            </w:r>
          </w:p>
          <w:p>
            <w:pPr>
              <w:spacing w:after="40" w:before="0"/>
              <w:jc w:val="left"/>
            </w:pPr>
            <w:r>
              <w:rPr>
                <w:rFonts w:ascii="Courier New" w:cs="Courier New" w:eastAsia="Courier New" w:hAnsi="Courier New"/>
                <w:b w:val="false"/>
                <w:bCs w:val="false"/>
                <w:i w:val="false"/>
                <w:iCs w:val="false"/>
                <w:color w:val="CDD6F4"/>
                <w:sz w:val="17"/>
                <w:szCs w:val="17"/>
              </w:rPr>
              <w:t xml:space="preserve">    id          UUID PRIMARY KEY DEFAULT gen_random_uuid(),</w:t>
            </w:r>
          </w:p>
          <w:p>
            <w:pPr>
              <w:spacing w:after="40" w:before="0"/>
              <w:jc w:val="left"/>
            </w:pPr>
            <w:r>
              <w:rPr>
                <w:rFonts w:ascii="Courier New" w:cs="Courier New" w:eastAsia="Courier New" w:hAnsi="Courier New"/>
                <w:b w:val="false"/>
                <w:bCs w:val="false"/>
                <w:i w:val="false"/>
                <w:iCs w:val="false"/>
                <w:color w:val="CDD6F4"/>
                <w:sz w:val="17"/>
                <w:szCs w:val="17"/>
              </w:rPr>
              <w:t xml:space="preserve">    tenant_id   UUID NOT NULL REFERENCES tenants(id) ON DELETE CASCADE,</w:t>
            </w:r>
          </w:p>
          <w:p>
            <w:pPr>
              <w:spacing w:after="40" w:before="0"/>
              <w:jc w:val="left"/>
            </w:pPr>
            <w:r>
              <w:rPr>
                <w:rFonts w:ascii="Courier New" w:cs="Courier New" w:eastAsia="Courier New" w:hAnsi="Courier New"/>
                <w:b w:val="false"/>
                <w:bCs w:val="false"/>
                <w:i w:val="false"/>
                <w:iCs w:val="false"/>
                <w:color w:val="6C7086"/>
                <w:sz w:val="17"/>
                <w:szCs w:val="17"/>
              </w:rPr>
              <w:t xml:space="preserve">    platform    TEXT NOT NULL,  -- 'mercadolibre'|'amazon'|'shopify'|'meta'|'facturapi'</w:t>
            </w:r>
          </w:p>
          <w:p>
            <w:pPr>
              <w:spacing w:after="40" w:before="0"/>
              <w:jc w:val="left"/>
            </w:pPr>
            <w:r>
              <w:rPr>
                <w:rFonts w:ascii="Courier New" w:cs="Courier New" w:eastAsia="Courier New" w:hAnsi="Courier New"/>
                <w:b w:val="false"/>
                <w:bCs w:val="false"/>
                <w:i w:val="false"/>
                <w:iCs w:val="false"/>
                <w:color w:val="6C7086"/>
                <w:sz w:val="17"/>
                <w:szCs w:val="17"/>
              </w:rPr>
              <w:t xml:space="preserve">    key_name    TEXT NOT NULL,  -- 'access_token'|'refresh_token'|'api_key'|etc</w:t>
            </w:r>
          </w:p>
          <w:p>
            <w:pPr>
              <w:spacing w:after="40" w:before="0"/>
              <w:jc w:val="left"/>
            </w:pPr>
            <w:r>
              <w:rPr>
                <w:rFonts w:ascii="Courier New" w:cs="Courier New" w:eastAsia="Courier New" w:hAnsi="Courier New"/>
                <w:b w:val="false"/>
                <w:bCs w:val="false"/>
                <w:i w:val="false"/>
                <w:iCs w:val="false"/>
                <w:color w:val="6C7086"/>
                <w:sz w:val="17"/>
                <w:szCs w:val="17"/>
              </w:rPr>
              <w:t xml:space="preserve">    -- El valor real NUNCA se guarda aquí en texto plano:</w:t>
            </w:r>
          </w:p>
          <w:p>
            <w:pPr>
              <w:spacing w:after="40" w:before="0"/>
              <w:jc w:val="left"/>
            </w:pPr>
            <w:r>
              <w:rPr>
                <w:rFonts w:ascii="Courier New" w:cs="Courier New" w:eastAsia="Courier New" w:hAnsi="Courier New"/>
                <w:b w:val="false"/>
                <w:bCs w:val="false"/>
                <w:i w:val="false"/>
                <w:iCs w:val="false"/>
                <w:color w:val="F9E2AF"/>
                <w:sz w:val="17"/>
                <w:szCs w:val="17"/>
              </w:rPr>
              <w:t xml:space="preserve">    vault_key   TEXT NOT NULL,  -- Referencia a Supabase Vault (pgsodium)</w:t>
            </w:r>
          </w:p>
          <w:p>
            <w:pPr>
              <w:spacing w:after="40" w:before="0"/>
              <w:jc w:val="left"/>
            </w:pPr>
            <w:r>
              <w:rPr>
                <w:rFonts w:ascii="Courier New" w:cs="Courier New" w:eastAsia="Courier New" w:hAnsi="Courier New"/>
                <w:b w:val="false"/>
                <w:bCs w:val="false"/>
                <w:i w:val="false"/>
                <w:iCs w:val="false"/>
                <w:color w:val="6C7086"/>
                <w:sz w:val="17"/>
                <w:szCs w:val="17"/>
              </w:rPr>
              <w:t xml:space="preserve">    last_4      TEXT,           -- Últimos 4 chars para mostrar en UI</w:t>
            </w:r>
          </w:p>
          <w:p>
            <w:pPr>
              <w:spacing w:after="40" w:before="0"/>
              <w:jc w:val="left"/>
            </w:pPr>
            <w:r>
              <w:rPr>
                <w:rFonts w:ascii="Courier New" w:cs="Courier New" w:eastAsia="Courier New" w:hAnsi="Courier New"/>
                <w:b w:val="false"/>
                <w:bCs w:val="false"/>
                <w:i w:val="false"/>
                <w:iCs w:val="false"/>
                <w:color w:val="CDD6F4"/>
                <w:sz w:val="17"/>
                <w:szCs w:val="17"/>
              </w:rPr>
              <w:t xml:space="preserve">    expires_at  TIMESTAMPTZ,    -- Para tokens OAuth con expiración</w:t>
            </w:r>
          </w:p>
          <w:p>
            <w:pPr>
              <w:spacing w:after="40" w:before="0"/>
              <w:jc w:val="left"/>
            </w:pPr>
            <w:r>
              <w:rPr>
                <w:rFonts w:ascii="Courier New" w:cs="Courier New" w:eastAsia="Courier New" w:hAnsi="Courier New"/>
                <w:b w:val="false"/>
                <w:bCs w:val="false"/>
                <w:i w:val="false"/>
                <w:iCs w:val="false"/>
                <w:color w:val="CDD6F4"/>
                <w:sz w:val="17"/>
                <w:szCs w:val="17"/>
              </w:rPr>
              <w:t xml:space="preserve">    is_valid    BOOLEAN DEFAULT FALSE,  -- true solo si el último test_connection pasó</w:t>
            </w:r>
          </w:p>
          <w:p>
            <w:pPr>
              <w:spacing w:after="40" w:before="0"/>
              <w:jc w:val="left"/>
            </w:pPr>
            <w:r>
              <w:rPr>
                <w:rFonts w:ascii="Courier New" w:cs="Courier New" w:eastAsia="Courier New" w:hAnsi="Courier New"/>
                <w:b w:val="false"/>
                <w:bCs w:val="false"/>
                <w:i w:val="false"/>
                <w:iCs w:val="false"/>
                <w:color w:val="CDD6F4"/>
                <w:sz w:val="17"/>
                <w:szCs w:val="17"/>
              </w:rPr>
              <w:t xml:space="preserve">    tested_at   TIMESTAMPTZ,</w:t>
            </w:r>
          </w:p>
          <w:p>
            <w:pPr>
              <w:spacing w:after="40" w:before="0"/>
              <w:jc w:val="left"/>
            </w:pPr>
            <w:r>
              <w:rPr>
                <w:rFonts w:ascii="Courier New" w:cs="Courier New" w:eastAsia="Courier New" w:hAnsi="Courier New"/>
                <w:b w:val="false"/>
                <w:bCs w:val="false"/>
                <w:i w:val="false"/>
                <w:iCs w:val="false"/>
                <w:color w:val="CDD6F4"/>
                <w:sz w:val="17"/>
                <w:szCs w:val="17"/>
              </w:rPr>
              <w:t xml:space="preserve">    created_at  TIMESTAMPTZ DEFAULT NOW(),</w:t>
            </w:r>
          </w:p>
          <w:p>
            <w:pPr>
              <w:spacing w:after="40" w:before="0"/>
              <w:jc w:val="left"/>
            </w:pPr>
            <w:r>
              <w:rPr>
                <w:rFonts w:ascii="Courier New" w:cs="Courier New" w:eastAsia="Courier New" w:hAnsi="Courier New"/>
                <w:b w:val="false"/>
                <w:bCs w:val="false"/>
                <w:i w:val="false"/>
                <w:iCs w:val="false"/>
                <w:color w:val="CDD6F4"/>
                <w:sz w:val="17"/>
                <w:szCs w:val="17"/>
              </w:rPr>
              <w:t xml:space="preserve">    UNIQUE (tenant_id, platform, key_name)</w:t>
            </w:r>
          </w:p>
          <w:p>
            <w:pPr>
              <w:spacing w:after="40" w:before="0"/>
              <w:jc w:val="left"/>
            </w:pPr>
            <w:r>
              <w:rPr>
                <w:rFonts w:ascii="Courier New" w:cs="Courier New" w:eastAsia="Courier New" w:hAnsi="Courier New"/>
                <w:b w:val="false"/>
                <w:bCs w:val="false"/>
                <w:i w:val="false"/>
                <w:iCs w:val="false"/>
                <w:color w:val="A6E3A1"/>
                <w:sz w:val="17"/>
                <w:szCs w:val="17"/>
              </w:rPr>
              <w:t xml:space="preserve">);</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F9E2AF"/>
                <w:sz w:val="17"/>
                <w:szCs w:val="17"/>
              </w:rPr>
              <w:t xml:space="preserve">ALTER TABLE platform_credentials ENABLE ROW LEVEL SECURITY;</w:t>
            </w:r>
          </w:p>
          <w:p>
            <w:pPr>
              <w:spacing w:after="40" w:before="0"/>
              <w:jc w:val="left"/>
            </w:pPr>
            <w:r>
              <w:rPr>
                <w:rFonts w:ascii="Courier New" w:cs="Courier New" w:eastAsia="Courier New" w:hAnsi="Courier New"/>
                <w:b w:val="false"/>
                <w:bCs w:val="false"/>
                <w:i w:val="false"/>
                <w:iCs w:val="false"/>
                <w:color w:val="6C7086"/>
                <w:sz w:val="17"/>
                <w:szCs w:val="17"/>
              </w:rPr>
              <w:t xml:space="preserve">-- RLS: cada tenant solo ve sus propias credenciales</w:t>
            </w:r>
          </w:p>
        </w:tc>
      </w:tr>
    </w:tbl>
    <w:p>
      <w:r>
        <w:br w:type="page"/>
      </w:r>
    </w:p>
    <w:p>
      <w:pPr>
        <w:pStyle w:val="Heading1"/>
        <w:spacing w:after="220" w:before="440"/>
      </w:pPr>
      <w:r>
        <w:rPr>
          <w:rFonts w:ascii="Arial" w:cs="Arial" w:eastAsia="Arial" w:hAnsi="Arial"/>
          <w:b/>
          <w:bCs/>
          <w:i w:val="false"/>
          <w:iCs w:val="false"/>
          <w:color w:val="0A1628"/>
          <w:sz w:val="38"/>
          <w:szCs w:val="38"/>
        </w:rPr>
        <w:t xml:space="preserve">2. FLUJO COMPLETO DE ONBOARDING (&lt;30 MINUTOS)</w:t>
      </w:r>
    </w:p>
    <w:p>
      <w:pPr>
        <w:spacing w:after="120" w:before="0"/>
        <w:jc w:val="left"/>
      </w:pPr>
      <w:r>
        <w:rPr>
          <w:rFonts w:ascii="Arial" w:cs="Arial" w:eastAsia="Arial" w:hAnsi="Arial"/>
          <w:b w:val="false"/>
          <w:bCs w:val="false"/>
          <w:i w:val="false"/>
          <w:iCs w:val="false"/>
          <w:color w:val="1A202C"/>
          <w:sz w:val="20"/>
          <w:szCs w:val="20"/>
        </w:rPr>
        <w:t xml:space="preserve">Sigue estos pasos en orden. Cada paso tiene su pantalla en el dashboard. El Onboarding Agent guía al administrador con instrucciones inline si algo no está claro.</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val="false"/>
        </w:trPr>
        <w:tc>
          <w:tcPr>
            <w:tcW w:type="dxa" w:w="600"/>
            <w:tcBorders>
              <w:top w:val="none" w:color="FFFFFF" w:sz="0"/>
              <w:left w:val="none" w:color="FFFFFF" w:sz="0"/>
              <w:bottom w:val="none" w:color="FFFFFF" w:sz="0"/>
              <w:right w:val="none" w:color="FFFFFF" w:sz="0"/>
            </w:tcBorders>
            <w:shd w:fill="7BC144"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A1628"/>
                <w:sz w:val="26"/>
                <w:szCs w:val="26"/>
              </w:rPr>
              <w:t xml:space="preserve">1</w:t>
            </w:r>
          </w:p>
        </w:tc>
        <w:tc>
          <w:tcPr>
            <w:tcW w:type="dxa" w:w="8760"/>
            <w:tcBorders>
              <w:top w:val="single" w:color="CBD5E0" w:sz="1"/>
              <w:left w:val="none" w:color="FFFFFF" w:sz="0"/>
              <w:bottom w:val="single" w:color="CBD5E0" w:sz="1"/>
              <w:right w:val="single" w:color="CBD5E0" w:sz="1"/>
            </w:tcBorders>
            <w:tcMar>
              <w:top w:type="dxa" w:w="120"/>
              <w:left w:type="dxa" w:w="200"/>
              <w:bottom w:type="dxa" w:w="120"/>
              <w:right w:type="dxa" w:w="160"/>
            </w:tcMar>
          </w:tcPr>
          <w:p>
            <w:pPr>
              <w:spacing w:after="60" w:before="0"/>
              <w:jc w:val="left"/>
            </w:pPr>
            <w:r>
              <w:rPr>
                <w:rFonts w:ascii="Arial" w:cs="Arial" w:eastAsia="Arial" w:hAnsi="Arial"/>
                <w:b/>
                <w:bCs/>
                <w:i w:val="false"/>
                <w:iCs w:val="false"/>
                <w:color w:val="112240"/>
                <w:sz w:val="20"/>
                <w:szCs w:val="20"/>
              </w:rPr>
              <w:t xml:space="preserve">Crear cuenta del tenant</w:t>
            </w:r>
          </w:p>
          <w:p>
            <w:pPr>
              <w:spacing w:after="60" w:before="0"/>
              <w:jc w:val="left"/>
            </w:pPr>
            <w:r>
              <w:rPr>
                <w:rFonts w:ascii="Arial" w:cs="Arial" w:eastAsia="Arial" w:hAnsi="Arial"/>
                <w:b w:val="false"/>
                <w:bCs w:val="false"/>
                <w:i w:val="false"/>
                <w:iCs w:val="false"/>
                <w:color w:val="1A202C"/>
                <w:sz w:val="18"/>
                <w:szCs w:val="18"/>
              </w:rPr>
              <w:t xml:space="preserve">El instalador crea la cuenta del nuevo cliente en KINEXIS con: nombre de la empresa, email del administrador principal, contraseña temporal. El sistema crea automáticamente el registro en la tabla tenants y user_profiles con rol=owner.</w:t>
            </w:r>
          </w:p>
          <w:p>
            <w:pPr>
              <w:spacing w:after="0" w:before="0"/>
              <w:jc w:val="left"/>
            </w:pPr>
            <w:r>
              <w:rPr>
                <w:rFonts w:ascii="Arial" w:cs="Arial" w:eastAsia="Arial" w:hAnsi="Arial"/>
                <w:b w:val="false"/>
                <w:bCs w:val="false"/>
                <w:i/>
                <w:iCs/>
                <w:color w:val="C05621"/>
                <w:sz w:val="17"/>
                <w:szCs w:val="17"/>
              </w:rPr>
              <w:t xml:space="preserve">⚠ Enviar la contraseña temporal al cliente por canal seguro — nunca por email sin cifrar.</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val="false"/>
        </w:trPr>
        <w:tc>
          <w:tcPr>
            <w:tcW w:type="dxa" w:w="600"/>
            <w:tcBorders>
              <w:top w:val="none" w:color="FFFFFF" w:sz="0"/>
              <w:left w:val="none" w:color="FFFFFF" w:sz="0"/>
              <w:bottom w:val="none" w:color="FFFFFF" w:sz="0"/>
              <w:right w:val="none" w:color="FFFFFF" w:sz="0"/>
            </w:tcBorders>
            <w:shd w:fill="7BC144"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A1628"/>
                <w:sz w:val="26"/>
                <w:szCs w:val="26"/>
              </w:rPr>
              <w:t xml:space="preserve">2</w:t>
            </w:r>
          </w:p>
        </w:tc>
        <w:tc>
          <w:tcPr>
            <w:tcW w:type="dxa" w:w="8760"/>
            <w:tcBorders>
              <w:top w:val="single" w:color="CBD5E0" w:sz="1"/>
              <w:left w:val="none" w:color="FFFFFF" w:sz="0"/>
              <w:bottom w:val="single" w:color="CBD5E0" w:sz="1"/>
              <w:right w:val="single" w:color="CBD5E0" w:sz="1"/>
            </w:tcBorders>
            <w:tcMar>
              <w:top w:type="dxa" w:w="120"/>
              <w:left w:type="dxa" w:w="200"/>
              <w:bottom w:type="dxa" w:w="120"/>
              <w:right w:type="dxa" w:w="160"/>
            </w:tcMar>
          </w:tcPr>
          <w:p>
            <w:pPr>
              <w:spacing w:after="60" w:before="0"/>
              <w:jc w:val="left"/>
            </w:pPr>
            <w:r>
              <w:rPr>
                <w:rFonts w:ascii="Arial" w:cs="Arial" w:eastAsia="Arial" w:hAnsi="Arial"/>
                <w:b/>
                <w:bCs/>
                <w:i w:val="false"/>
                <w:iCs w:val="false"/>
                <w:color w:val="112240"/>
                <w:sz w:val="20"/>
                <w:szCs w:val="20"/>
              </w:rPr>
              <w:t xml:space="preserve">Datos de la empresa y CFDI</w:t>
            </w:r>
          </w:p>
          <w:p>
            <w:pPr>
              <w:spacing w:after="60" w:before="0"/>
              <w:jc w:val="left"/>
            </w:pPr>
            <w:r>
              <w:rPr>
                <w:rFonts w:ascii="Arial" w:cs="Arial" w:eastAsia="Arial" w:hAnsi="Arial"/>
                <w:b w:val="false"/>
                <w:bCs w:val="false"/>
                <w:i w:val="false"/>
                <w:iCs w:val="false"/>
                <w:color w:val="1A202C"/>
                <w:sz w:val="18"/>
                <w:szCs w:val="18"/>
              </w:rPr>
              <w:t xml:space="preserve">Configurar los datos fiscales del emisor: RFC, razón social, CP de expedición, régimen fiscal, series de folio (KT para ingreso, KTNC para nota de crédito, KTP para pagos). Estos datos son los que aparecerán en cada CFDI timbrado.</w:t>
            </w:r>
          </w:p>
          <w:p>
            <w:pPr>
              <w:spacing w:after="0" w:before="0"/>
              <w:jc w:val="left"/>
            </w:pPr>
            <w:r>
              <w:rPr>
                <w:rFonts w:ascii="Arial" w:cs="Arial" w:eastAsia="Arial" w:hAnsi="Arial"/>
                <w:b w:val="false"/>
                <w:bCs w:val="false"/>
                <w:i/>
                <w:iCs/>
                <w:color w:val="C05621"/>
                <w:sz w:val="17"/>
                <w:szCs w:val="17"/>
              </w:rPr>
              <w:t xml:space="preserve">⚠ Pendiente Kap Tools: RFC completo de 12 dígitos. El sistema acepta KTO______ como placeholder hasta que llegue el RFC real — los CFDIs en sandbox funcionan con datos de prueba de Facturapi.</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val="false"/>
        </w:trPr>
        <w:tc>
          <w:tcPr>
            <w:tcW w:type="dxa" w:w="600"/>
            <w:tcBorders>
              <w:top w:val="none" w:color="FFFFFF" w:sz="0"/>
              <w:left w:val="none" w:color="FFFFFF" w:sz="0"/>
              <w:bottom w:val="none" w:color="FFFFFF" w:sz="0"/>
              <w:right w:val="none" w:color="FFFFFF" w:sz="0"/>
            </w:tcBorders>
            <w:shd w:fill="7BC144"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A1628"/>
                <w:sz w:val="26"/>
                <w:szCs w:val="26"/>
              </w:rPr>
              <w:t xml:space="preserve">3</w:t>
            </w:r>
          </w:p>
        </w:tc>
        <w:tc>
          <w:tcPr>
            <w:tcW w:type="dxa" w:w="8760"/>
            <w:tcBorders>
              <w:top w:val="single" w:color="CBD5E0" w:sz="1"/>
              <w:left w:val="none" w:color="FFFFFF" w:sz="0"/>
              <w:bottom w:val="single" w:color="CBD5E0" w:sz="1"/>
              <w:right w:val="single" w:color="CBD5E0" w:sz="1"/>
            </w:tcBorders>
            <w:tcMar>
              <w:top w:type="dxa" w:w="120"/>
              <w:left w:type="dxa" w:w="200"/>
              <w:bottom w:type="dxa" w:w="120"/>
              <w:right w:type="dxa" w:w="160"/>
            </w:tcMar>
          </w:tcPr>
          <w:p>
            <w:pPr>
              <w:spacing w:after="60" w:before="0"/>
              <w:jc w:val="left"/>
            </w:pPr>
            <w:r>
              <w:rPr>
                <w:rFonts w:ascii="Arial" w:cs="Arial" w:eastAsia="Arial" w:hAnsi="Arial"/>
                <w:b/>
                <w:bCs/>
                <w:i w:val="false"/>
                <w:iCs w:val="false"/>
                <w:color w:val="112240"/>
                <w:sz w:val="20"/>
                <w:szCs w:val="20"/>
              </w:rPr>
              <w:t xml:space="preserve">Conexión de Mercado Libre</w:t>
            </w:r>
          </w:p>
          <w:p>
            <w:pPr>
              <w:spacing w:after="0" w:before="0"/>
              <w:jc w:val="left"/>
            </w:pPr>
            <w:r>
              <w:rPr>
                <w:rFonts w:ascii="Arial" w:cs="Arial" w:eastAsia="Arial" w:hAnsi="Arial"/>
                <w:b w:val="false"/>
                <w:bCs w:val="false"/>
                <w:i w:val="false"/>
                <w:iCs w:val="false"/>
                <w:color w:val="1A202C"/>
                <w:sz w:val="18"/>
                <w:szCs w:val="18"/>
              </w:rPr>
              <w:t xml:space="preserve">El instalador inicia el flujo OAuth de ML desde el dashboard. El sistema abre la pantalla de autorización de ML, el cliente acepta los permisos, y ML devuelve el access_token + refresh_token que KINEXIS guarda automáticamente en Vault. Duración: ~2 minutos.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val="false"/>
        </w:trPr>
        <w:tc>
          <w:tcPr>
            <w:tcW w:type="dxa" w:w="600"/>
            <w:tcBorders>
              <w:top w:val="none" w:color="FFFFFF" w:sz="0"/>
              <w:left w:val="none" w:color="FFFFFF" w:sz="0"/>
              <w:bottom w:val="none" w:color="FFFFFF" w:sz="0"/>
              <w:right w:val="none" w:color="FFFFFF" w:sz="0"/>
            </w:tcBorders>
            <w:shd w:fill="7BC144"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A1628"/>
                <w:sz w:val="26"/>
                <w:szCs w:val="26"/>
              </w:rPr>
              <w:t xml:space="preserve">4</w:t>
            </w:r>
          </w:p>
        </w:tc>
        <w:tc>
          <w:tcPr>
            <w:tcW w:type="dxa" w:w="8760"/>
            <w:tcBorders>
              <w:top w:val="single" w:color="CBD5E0" w:sz="1"/>
              <w:left w:val="none" w:color="FFFFFF" w:sz="0"/>
              <w:bottom w:val="single" w:color="CBD5E0" w:sz="1"/>
              <w:right w:val="single" w:color="CBD5E0" w:sz="1"/>
            </w:tcBorders>
            <w:tcMar>
              <w:top w:type="dxa" w:w="120"/>
              <w:left w:type="dxa" w:w="200"/>
              <w:bottom w:type="dxa" w:w="120"/>
              <w:right w:type="dxa" w:w="160"/>
            </w:tcMar>
          </w:tcPr>
          <w:p>
            <w:pPr>
              <w:spacing w:after="60" w:before="0"/>
              <w:jc w:val="left"/>
            </w:pPr>
            <w:r>
              <w:rPr>
                <w:rFonts w:ascii="Arial" w:cs="Arial" w:eastAsia="Arial" w:hAnsi="Arial"/>
                <w:b/>
                <w:bCs/>
                <w:i w:val="false"/>
                <w:iCs w:val="false"/>
                <w:color w:val="112240"/>
                <w:sz w:val="20"/>
                <w:szCs w:val="20"/>
              </w:rPr>
              <w:t xml:space="preserve">Conexión de Amazon</w:t>
            </w:r>
          </w:p>
          <w:p>
            <w:pPr>
              <w:spacing w:after="60" w:before="0"/>
              <w:jc w:val="left"/>
            </w:pPr>
            <w:r>
              <w:rPr>
                <w:rFonts w:ascii="Arial" w:cs="Arial" w:eastAsia="Arial" w:hAnsi="Arial"/>
                <w:b w:val="false"/>
                <w:bCs w:val="false"/>
                <w:i w:val="false"/>
                <w:iCs w:val="false"/>
                <w:color w:val="1A202C"/>
                <w:sz w:val="18"/>
                <w:szCs w:val="18"/>
              </w:rPr>
              <w:t xml:space="preserve">El instalador ingresa el Seller Central ID y el Marketplace ID (MX para México). El sistema guía a través de la autorización SP-API con los pasos exactos en Seller Central. Duración: ~5 minutos.</w:t>
            </w:r>
          </w:p>
          <w:p>
            <w:pPr>
              <w:spacing w:after="0" w:before="0"/>
              <w:jc w:val="left"/>
            </w:pPr>
            <w:r>
              <w:rPr>
                <w:rFonts w:ascii="Arial" w:cs="Arial" w:eastAsia="Arial" w:hAnsi="Arial"/>
                <w:b w:val="false"/>
                <w:bCs w:val="false"/>
                <w:i/>
                <w:iCs/>
                <w:color w:val="C05621"/>
                <w:sz w:val="17"/>
                <w:szCs w:val="17"/>
              </w:rPr>
              <w:t xml:space="preserve">⚠ Amazon requiere que el desarrollador de la app tenga la app aprobada en el Selling Partner App Registry. Atollom Labs gestiona esto como la empresa desarrolladora.</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val="false"/>
        </w:trPr>
        <w:tc>
          <w:tcPr>
            <w:tcW w:type="dxa" w:w="600"/>
            <w:tcBorders>
              <w:top w:val="none" w:color="FFFFFF" w:sz="0"/>
              <w:left w:val="none" w:color="FFFFFF" w:sz="0"/>
              <w:bottom w:val="none" w:color="FFFFFF" w:sz="0"/>
              <w:right w:val="none" w:color="FFFFFF" w:sz="0"/>
            </w:tcBorders>
            <w:shd w:fill="7BC144"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A1628"/>
                <w:sz w:val="26"/>
                <w:szCs w:val="26"/>
              </w:rPr>
              <w:t xml:space="preserve">5</w:t>
            </w:r>
          </w:p>
        </w:tc>
        <w:tc>
          <w:tcPr>
            <w:tcW w:type="dxa" w:w="8760"/>
            <w:tcBorders>
              <w:top w:val="single" w:color="CBD5E0" w:sz="1"/>
              <w:left w:val="none" w:color="FFFFFF" w:sz="0"/>
              <w:bottom w:val="single" w:color="CBD5E0" w:sz="1"/>
              <w:right w:val="single" w:color="CBD5E0" w:sz="1"/>
            </w:tcBorders>
            <w:tcMar>
              <w:top w:type="dxa" w:w="120"/>
              <w:left w:type="dxa" w:w="200"/>
              <w:bottom w:type="dxa" w:w="120"/>
              <w:right w:type="dxa" w:w="160"/>
            </w:tcMar>
          </w:tcPr>
          <w:p>
            <w:pPr>
              <w:spacing w:after="60" w:before="0"/>
              <w:jc w:val="left"/>
            </w:pPr>
            <w:r>
              <w:rPr>
                <w:rFonts w:ascii="Arial" w:cs="Arial" w:eastAsia="Arial" w:hAnsi="Arial"/>
                <w:b/>
                <w:bCs/>
                <w:i w:val="false"/>
                <w:iCs w:val="false"/>
                <w:color w:val="112240"/>
                <w:sz w:val="20"/>
                <w:szCs w:val="20"/>
              </w:rPr>
              <w:t xml:space="preserve">Conexión de Shopify</w:t>
            </w:r>
          </w:p>
          <w:p>
            <w:pPr>
              <w:spacing w:after="0" w:before="0"/>
              <w:jc w:val="left"/>
            </w:pPr>
            <w:r>
              <w:rPr>
                <w:rFonts w:ascii="Arial" w:cs="Arial" w:eastAsia="Arial" w:hAnsi="Arial"/>
                <w:b w:val="false"/>
                <w:bCs w:val="false"/>
                <w:i w:val="false"/>
                <w:iCs w:val="false"/>
                <w:color w:val="1A202C"/>
                <w:sz w:val="18"/>
                <w:szCs w:val="18"/>
              </w:rPr>
              <w:t xml:space="preserve">El instalador ingresa la URL de la tienda Shopify. El sistema genera el link de instalación de la app privada de KINEXIS. El cliente instala la app en Shopify y acepta los permisos. Token guardado automáticamente en Vault. Duración: ~2 minutos.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val="false"/>
        </w:trPr>
        <w:tc>
          <w:tcPr>
            <w:tcW w:type="dxa" w:w="600"/>
            <w:tcBorders>
              <w:top w:val="none" w:color="FFFFFF" w:sz="0"/>
              <w:left w:val="none" w:color="FFFFFF" w:sz="0"/>
              <w:bottom w:val="none" w:color="FFFFFF" w:sz="0"/>
              <w:right w:val="none" w:color="FFFFFF" w:sz="0"/>
            </w:tcBorders>
            <w:shd w:fill="7BC144"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A1628"/>
                <w:sz w:val="26"/>
                <w:szCs w:val="26"/>
              </w:rPr>
              <w:t xml:space="preserve">6</w:t>
            </w:r>
          </w:p>
        </w:tc>
        <w:tc>
          <w:tcPr>
            <w:tcW w:type="dxa" w:w="8760"/>
            <w:tcBorders>
              <w:top w:val="single" w:color="CBD5E0" w:sz="1"/>
              <w:left w:val="none" w:color="FFFFFF" w:sz="0"/>
              <w:bottom w:val="single" w:color="CBD5E0" w:sz="1"/>
              <w:right w:val="single" w:color="CBD5E0" w:sz="1"/>
            </w:tcBorders>
            <w:tcMar>
              <w:top w:type="dxa" w:w="120"/>
              <w:left w:type="dxa" w:w="200"/>
              <w:bottom w:type="dxa" w:w="120"/>
              <w:right w:type="dxa" w:w="160"/>
            </w:tcMar>
          </w:tcPr>
          <w:p>
            <w:pPr>
              <w:spacing w:after="60" w:before="0"/>
              <w:jc w:val="left"/>
            </w:pPr>
            <w:r>
              <w:rPr>
                <w:rFonts w:ascii="Arial" w:cs="Arial" w:eastAsia="Arial" w:hAnsi="Arial"/>
                <w:b/>
                <w:bCs/>
                <w:i w:val="false"/>
                <w:iCs w:val="false"/>
                <w:color w:val="112240"/>
                <w:sz w:val="20"/>
                <w:szCs w:val="20"/>
              </w:rPr>
              <w:t xml:space="preserve">Meta Business Platform</w:t>
            </w:r>
          </w:p>
          <w:p>
            <w:pPr>
              <w:spacing w:after="60" w:before="0"/>
              <w:jc w:val="left"/>
            </w:pPr>
            <w:r>
              <w:rPr>
                <w:rFonts w:ascii="Arial" w:cs="Arial" w:eastAsia="Arial" w:hAnsi="Arial"/>
                <w:b w:val="false"/>
                <w:bCs w:val="false"/>
                <w:i w:val="false"/>
                <w:iCs w:val="false"/>
                <w:color w:val="1A202C"/>
                <w:sz w:val="18"/>
                <w:szCs w:val="18"/>
              </w:rPr>
              <w:t xml:space="preserve">El instalador inicia el flujo de Facebook Login Business. El cliente selecciona su Business Account, otorga permisos para WhatsApp Business API, Instagram Graph API y Facebook Pages API. KINEXIS guarda todos los tokens y IDs automáticamente. Duración: ~3 minutos.</w:t>
            </w:r>
          </w:p>
          <w:p>
            <w:pPr>
              <w:spacing w:after="0" w:before="0"/>
              <w:jc w:val="left"/>
            </w:pPr>
            <w:r>
              <w:rPr>
                <w:rFonts w:ascii="Arial" w:cs="Arial" w:eastAsia="Arial" w:hAnsi="Arial"/>
                <w:b w:val="false"/>
                <w:bCs w:val="false"/>
                <w:i/>
                <w:iCs/>
                <w:color w:val="C05621"/>
                <w:sz w:val="17"/>
                <w:szCs w:val="17"/>
              </w:rPr>
              <w:t xml:space="preserve">⚠ Si el cliente aún no tiene WhatsApp Business API habilitado, este paso incluye el proceso de solicitud a Meta — puede tardar 24-48 horas adicionales.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val="false"/>
        </w:trPr>
        <w:tc>
          <w:tcPr>
            <w:tcW w:type="dxa" w:w="600"/>
            <w:tcBorders>
              <w:top w:val="none" w:color="FFFFFF" w:sz="0"/>
              <w:left w:val="none" w:color="FFFFFF" w:sz="0"/>
              <w:bottom w:val="none" w:color="FFFFFF" w:sz="0"/>
              <w:right w:val="none" w:color="FFFFFF" w:sz="0"/>
            </w:tcBorders>
            <w:shd w:fill="7BC144"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A1628"/>
                <w:sz w:val="26"/>
                <w:szCs w:val="26"/>
              </w:rPr>
              <w:t xml:space="preserve">7</w:t>
            </w:r>
          </w:p>
        </w:tc>
        <w:tc>
          <w:tcPr>
            <w:tcW w:type="dxa" w:w="8760"/>
            <w:tcBorders>
              <w:top w:val="single" w:color="CBD5E0" w:sz="1"/>
              <w:left w:val="none" w:color="FFFFFF" w:sz="0"/>
              <w:bottom w:val="single" w:color="CBD5E0" w:sz="1"/>
              <w:right w:val="single" w:color="CBD5E0" w:sz="1"/>
            </w:tcBorders>
            <w:tcMar>
              <w:top w:type="dxa" w:w="120"/>
              <w:left w:type="dxa" w:w="200"/>
              <w:bottom w:type="dxa" w:w="120"/>
              <w:right w:type="dxa" w:w="160"/>
            </w:tcMar>
          </w:tcPr>
          <w:p>
            <w:pPr>
              <w:spacing w:after="60" w:before="0"/>
              <w:jc w:val="left"/>
            </w:pPr>
            <w:r>
              <w:rPr>
                <w:rFonts w:ascii="Arial" w:cs="Arial" w:eastAsia="Arial" w:hAnsi="Arial"/>
                <w:b/>
                <w:bCs/>
                <w:i w:val="false"/>
                <w:iCs w:val="false"/>
                <w:color w:val="112240"/>
                <w:sz w:val="20"/>
                <w:szCs w:val="20"/>
              </w:rPr>
              <w:t xml:space="preserve">Facturapi (CFDI)</w:t>
            </w:r>
          </w:p>
          <w:p>
            <w:pPr>
              <w:spacing w:after="60" w:before="0"/>
              <w:jc w:val="left"/>
            </w:pPr>
            <w:r>
              <w:rPr>
                <w:rFonts w:ascii="Arial" w:cs="Arial" w:eastAsia="Arial" w:hAnsi="Arial"/>
                <w:b w:val="false"/>
                <w:bCs w:val="false"/>
                <w:i w:val="false"/>
                <w:iCs w:val="false"/>
                <w:color w:val="1A202C"/>
                <w:sz w:val="18"/>
                <w:szCs w:val="18"/>
              </w:rPr>
              <w:t xml:space="preserve">El cliente crea su cuenta en Facturapi (facturapi.io) y obtiene su API Key de producción. La pega en el campo del dashboard. El sistema la encripta con pgsodium y la guarda en Vault. Prueba automática: GET /v2/organizations. Duración: ~3 minutos.</w:t>
            </w:r>
          </w:p>
          <w:p>
            <w:pPr>
              <w:spacing w:after="0" w:before="0"/>
              <w:jc w:val="left"/>
            </w:pPr>
            <w:r>
              <w:rPr>
                <w:rFonts w:ascii="Arial" w:cs="Arial" w:eastAsia="Arial" w:hAnsi="Arial"/>
                <w:b w:val="false"/>
                <w:bCs w:val="false"/>
                <w:i/>
                <w:iCs/>
                <w:color w:val="C05621"/>
                <w:sz w:val="17"/>
                <w:szCs w:val="17"/>
              </w:rPr>
              <w:t xml:space="preserve">⚠ Si el cliente no tiene cuenta en Facturapi, el proceso de registro y configuración de sus datos fiscales en Facturapi puede tomar 30-60 minutos adicionales (proceso externo a KINEXIS).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val="false"/>
        </w:trPr>
        <w:tc>
          <w:tcPr>
            <w:tcW w:type="dxa" w:w="600"/>
            <w:tcBorders>
              <w:top w:val="none" w:color="FFFFFF" w:sz="0"/>
              <w:left w:val="none" w:color="FFFFFF" w:sz="0"/>
              <w:bottom w:val="none" w:color="FFFFFF" w:sz="0"/>
              <w:right w:val="none" w:color="FFFFFF" w:sz="0"/>
            </w:tcBorders>
            <w:shd w:fill="7BC144"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A1628"/>
                <w:sz w:val="26"/>
                <w:szCs w:val="26"/>
              </w:rPr>
              <w:t xml:space="preserve">8</w:t>
            </w:r>
          </w:p>
        </w:tc>
        <w:tc>
          <w:tcPr>
            <w:tcW w:type="dxa" w:w="8760"/>
            <w:tcBorders>
              <w:top w:val="single" w:color="CBD5E0" w:sz="1"/>
              <w:left w:val="none" w:color="FFFFFF" w:sz="0"/>
              <w:bottom w:val="single" w:color="CBD5E0" w:sz="1"/>
              <w:right w:val="single" w:color="CBD5E0" w:sz="1"/>
            </w:tcBorders>
            <w:tcMar>
              <w:top w:type="dxa" w:w="120"/>
              <w:left w:type="dxa" w:w="200"/>
              <w:bottom w:type="dxa" w:w="120"/>
              <w:right w:type="dxa" w:w="160"/>
            </w:tcMar>
          </w:tcPr>
          <w:p>
            <w:pPr>
              <w:spacing w:after="60" w:before="0"/>
              <w:jc w:val="left"/>
            </w:pPr>
            <w:r>
              <w:rPr>
                <w:rFonts w:ascii="Arial" w:cs="Arial" w:eastAsia="Arial" w:hAnsi="Arial"/>
                <w:b/>
                <w:bCs/>
                <w:i w:val="false"/>
                <w:iCs w:val="false"/>
                <w:color w:val="112240"/>
                <w:sz w:val="20"/>
                <w:szCs w:val="20"/>
              </w:rPr>
              <w:t xml:space="preserve">Catálogo de productos</w:t>
            </w:r>
          </w:p>
          <w:p>
            <w:pPr>
              <w:spacing w:after="0" w:before="0"/>
              <w:jc w:val="left"/>
            </w:pPr>
            <w:r>
              <w:rPr>
                <w:rFonts w:ascii="Arial" w:cs="Arial" w:eastAsia="Arial" w:hAnsi="Arial"/>
                <w:b w:val="false"/>
                <w:bCs w:val="false"/>
                <w:i w:val="false"/>
                <w:iCs w:val="false"/>
                <w:color w:val="1A202C"/>
                <w:sz w:val="18"/>
                <w:szCs w:val="18"/>
              </w:rPr>
              <w:t xml:space="preserve">El cliente sube su archivo Excel de Aspel SAE (o cualquier formato tabular). El Onboarding Agent mapea columnas automáticamente. Muestra preview de los primeros 10 registros para confirmar. Al aprobar, importa todo a la tabla products y product_sat_keys. Duración: ~3 minutos (más tiempo de revisión del cliente).</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val="false"/>
        </w:trPr>
        <w:tc>
          <w:tcPr>
            <w:tcW w:type="dxa" w:w="600"/>
            <w:tcBorders>
              <w:top w:val="none" w:color="FFFFFF" w:sz="0"/>
              <w:left w:val="none" w:color="FFFFFF" w:sz="0"/>
              <w:bottom w:val="none" w:color="FFFFFF" w:sz="0"/>
              <w:right w:val="none" w:color="FFFFFF" w:sz="0"/>
            </w:tcBorders>
            <w:shd w:fill="7BC144"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A1628"/>
                <w:sz w:val="26"/>
                <w:szCs w:val="26"/>
              </w:rPr>
              <w:t xml:space="preserve">9</w:t>
            </w:r>
          </w:p>
        </w:tc>
        <w:tc>
          <w:tcPr>
            <w:tcW w:type="dxa" w:w="8760"/>
            <w:tcBorders>
              <w:top w:val="single" w:color="CBD5E0" w:sz="1"/>
              <w:left w:val="none" w:color="FFFFFF" w:sz="0"/>
              <w:bottom w:val="single" w:color="CBD5E0" w:sz="1"/>
              <w:right w:val="single" w:color="CBD5E0" w:sz="1"/>
            </w:tcBorders>
            <w:tcMar>
              <w:top w:type="dxa" w:w="120"/>
              <w:left w:type="dxa" w:w="200"/>
              <w:bottom w:type="dxa" w:w="120"/>
              <w:right w:type="dxa" w:w="160"/>
            </w:tcMar>
          </w:tcPr>
          <w:p>
            <w:pPr>
              <w:spacing w:after="60" w:before="0"/>
              <w:jc w:val="left"/>
            </w:pPr>
            <w:r>
              <w:rPr>
                <w:rFonts w:ascii="Arial" w:cs="Arial" w:eastAsia="Arial" w:hAnsi="Arial"/>
                <w:b/>
                <w:bCs/>
                <w:i w:val="false"/>
                <w:iCs w:val="false"/>
                <w:color w:val="112240"/>
                <w:sz w:val="20"/>
                <w:szCs w:val="20"/>
              </w:rPr>
              <w:t xml:space="preserve">Inventario inicial</w:t>
            </w:r>
          </w:p>
          <w:p>
            <w:pPr>
              <w:spacing w:after="0" w:before="0"/>
              <w:jc w:val="left"/>
            </w:pPr>
            <w:r>
              <w:rPr>
                <w:rFonts w:ascii="Arial" w:cs="Arial" w:eastAsia="Arial" w:hAnsi="Arial"/>
                <w:b w:val="false"/>
                <w:bCs w:val="false"/>
                <w:i w:val="false"/>
                <w:iCs w:val="false"/>
                <w:color w:val="1A202C"/>
                <w:sz w:val="18"/>
                <w:szCs w:val="18"/>
              </w:rPr>
              <w:t xml:space="preserve">El cliente sube el Excel de inventario actual. El agente importa a la tabla inventory y sincroniza stock a ML, Amazon y Shopify simultáneamente. Duración: ~2 minutos.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val="false"/>
        </w:trPr>
        <w:tc>
          <w:tcPr>
            <w:tcW w:type="dxa" w:w="600"/>
            <w:tcBorders>
              <w:top w:val="none" w:color="FFFFFF" w:sz="0"/>
              <w:left w:val="none" w:color="FFFFFF" w:sz="0"/>
              <w:bottom w:val="none" w:color="FFFFFF" w:sz="0"/>
              <w:right w:val="none" w:color="FFFFFF" w:sz="0"/>
            </w:tcBorders>
            <w:shd w:fill="7BC144"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A1628"/>
                <w:sz w:val="26"/>
                <w:szCs w:val="26"/>
              </w:rPr>
              <w:t xml:space="preserve">10</w:t>
            </w:r>
          </w:p>
        </w:tc>
        <w:tc>
          <w:tcPr>
            <w:tcW w:type="dxa" w:w="8760"/>
            <w:tcBorders>
              <w:top w:val="single" w:color="CBD5E0" w:sz="1"/>
              <w:left w:val="none" w:color="FFFFFF" w:sz="0"/>
              <w:bottom w:val="single" w:color="CBD5E0" w:sz="1"/>
              <w:right w:val="single" w:color="CBD5E0" w:sz="1"/>
            </w:tcBorders>
            <w:tcMar>
              <w:top w:type="dxa" w:w="120"/>
              <w:left w:type="dxa" w:w="200"/>
              <w:bottom w:type="dxa" w:w="120"/>
              <w:right w:type="dxa" w:w="160"/>
            </w:tcMar>
          </w:tcPr>
          <w:p>
            <w:pPr>
              <w:spacing w:after="60" w:before="0"/>
              <w:jc w:val="left"/>
            </w:pPr>
            <w:r>
              <w:rPr>
                <w:rFonts w:ascii="Arial" w:cs="Arial" w:eastAsia="Arial" w:hAnsi="Arial"/>
                <w:b/>
                <w:bCs/>
                <w:i w:val="false"/>
                <w:iCs w:val="false"/>
                <w:color w:val="112240"/>
                <w:sz w:val="20"/>
                <w:szCs w:val="20"/>
              </w:rPr>
              <w:t xml:space="preserve">Reglas de negocio</w:t>
            </w:r>
          </w:p>
          <w:p>
            <w:pPr>
              <w:spacing w:after="0" w:before="0"/>
              <w:jc w:val="left"/>
            </w:pPr>
            <w:r>
              <w:rPr>
                <w:rFonts w:ascii="Arial" w:cs="Arial" w:eastAsia="Arial" w:hAnsi="Arial"/>
                <w:b w:val="false"/>
                <w:bCs w:val="false"/>
                <w:i w:val="false"/>
                <w:iCs w:val="false"/>
                <w:color w:val="1A202C"/>
                <w:sz w:val="18"/>
                <w:szCs w:val="18"/>
              </w:rPr>
              <w:t xml:space="preserve">El instalador configura con el cliente: márgenes mínimos por plataforma, límites de autonomía (montos que requieren aprobación), presupuestos máximos de ADS. Todos los valores tienen defaults razonables. Duración: ~5 minutos.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val="false"/>
        </w:trPr>
        <w:tc>
          <w:tcPr>
            <w:tcW w:type="dxa" w:w="600"/>
            <w:tcBorders>
              <w:top w:val="none" w:color="FFFFFF" w:sz="0"/>
              <w:left w:val="none" w:color="FFFFFF" w:sz="0"/>
              <w:bottom w:val="none" w:color="FFFFFF" w:sz="0"/>
              <w:right w:val="none" w:color="FFFFFF" w:sz="0"/>
            </w:tcBorders>
            <w:shd w:fill="7BC144"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A1628"/>
                <w:sz w:val="26"/>
                <w:szCs w:val="26"/>
              </w:rPr>
              <w:t xml:space="preserve">11</w:t>
            </w:r>
          </w:p>
        </w:tc>
        <w:tc>
          <w:tcPr>
            <w:tcW w:type="dxa" w:w="8760"/>
            <w:tcBorders>
              <w:top w:val="single" w:color="CBD5E0" w:sz="1"/>
              <w:left w:val="none" w:color="FFFFFF" w:sz="0"/>
              <w:bottom w:val="single" w:color="CBD5E0" w:sz="1"/>
              <w:right w:val="single" w:color="CBD5E0" w:sz="1"/>
            </w:tcBorders>
            <w:tcMar>
              <w:top w:type="dxa" w:w="120"/>
              <w:left w:type="dxa" w:w="200"/>
              <w:bottom w:type="dxa" w:w="120"/>
              <w:right w:type="dxa" w:w="160"/>
            </w:tcMar>
          </w:tcPr>
          <w:p>
            <w:pPr>
              <w:spacing w:after="60" w:before="0"/>
              <w:jc w:val="left"/>
            </w:pPr>
            <w:r>
              <w:rPr>
                <w:rFonts w:ascii="Arial" w:cs="Arial" w:eastAsia="Arial" w:hAnsi="Arial"/>
                <w:b/>
                <w:bCs/>
                <w:i w:val="false"/>
                <w:iCs w:val="false"/>
                <w:color w:val="112240"/>
                <w:sz w:val="20"/>
                <w:szCs w:val="20"/>
              </w:rPr>
              <w:t xml:space="preserve">Impresora térmica del almacén</w:t>
            </w:r>
          </w:p>
          <w:p>
            <w:pPr>
              <w:spacing w:after="60" w:before="0"/>
              <w:jc w:val="left"/>
            </w:pPr>
            <w:r>
              <w:rPr>
                <w:rFonts w:ascii="Arial" w:cs="Arial" w:eastAsia="Arial" w:hAnsi="Arial"/>
                <w:b w:val="false"/>
                <w:bCs w:val="false"/>
                <w:i w:val="false"/>
                <w:iCs w:val="false"/>
                <w:color w:val="1A202C"/>
                <w:sz w:val="18"/>
                <w:szCs w:val="18"/>
              </w:rPr>
              <w:t xml:space="preserve">El instalador ingresa la IP local de la impresora, el protocolo (ZPL o EPL), y el modelo. El sistema envía un print job de prueba. Si imprime correctamente, la conexión queda confirmada. Duración: ~2 minutos.</w:t>
            </w:r>
          </w:p>
          <w:p>
            <w:pPr>
              <w:spacing w:after="0" w:before="0"/>
              <w:jc w:val="left"/>
            </w:pPr>
            <w:r>
              <w:rPr>
                <w:rFonts w:ascii="Arial" w:cs="Arial" w:eastAsia="Arial" w:hAnsi="Arial"/>
                <w:b w:val="false"/>
                <w:bCs w:val="false"/>
                <w:i/>
                <w:iCs/>
                <w:color w:val="C05621"/>
                <w:sz w:val="17"/>
                <w:szCs w:val="17"/>
              </w:rPr>
              <w:t xml:space="preserve">⚠ Kap Tools pendiente: confirmar marca y modelo de la impresora para configurar el driver correcto.</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val="false"/>
        </w:trPr>
        <w:tc>
          <w:tcPr>
            <w:tcW w:type="dxa" w:w="600"/>
            <w:tcBorders>
              <w:top w:val="none" w:color="FFFFFF" w:sz="0"/>
              <w:left w:val="none" w:color="FFFFFF" w:sz="0"/>
              <w:bottom w:val="none" w:color="FFFFFF" w:sz="0"/>
              <w:right w:val="none" w:color="FFFFFF" w:sz="0"/>
            </w:tcBorders>
            <w:shd w:fill="7BC144"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A1628"/>
                <w:sz w:val="26"/>
                <w:szCs w:val="26"/>
              </w:rPr>
              <w:t xml:space="preserve">12</w:t>
            </w:r>
          </w:p>
        </w:tc>
        <w:tc>
          <w:tcPr>
            <w:tcW w:type="dxa" w:w="8760"/>
            <w:tcBorders>
              <w:top w:val="single" w:color="CBD5E0" w:sz="1"/>
              <w:left w:val="none" w:color="FFFFFF" w:sz="0"/>
              <w:bottom w:val="single" w:color="CBD5E0" w:sz="1"/>
              <w:right w:val="single" w:color="CBD5E0" w:sz="1"/>
            </w:tcBorders>
            <w:tcMar>
              <w:top w:type="dxa" w:w="120"/>
              <w:left w:type="dxa" w:w="200"/>
              <w:bottom w:type="dxa" w:w="120"/>
              <w:right w:type="dxa" w:w="160"/>
            </w:tcMar>
          </w:tcPr>
          <w:p>
            <w:pPr>
              <w:spacing w:after="60" w:before="0"/>
              <w:jc w:val="left"/>
            </w:pPr>
            <w:r>
              <w:rPr>
                <w:rFonts w:ascii="Arial" w:cs="Arial" w:eastAsia="Arial" w:hAnsi="Arial"/>
                <w:b/>
                <w:bCs/>
                <w:i w:val="false"/>
                <w:iCs w:val="false"/>
                <w:color w:val="112240"/>
                <w:sz w:val="20"/>
                <w:szCs w:val="20"/>
              </w:rPr>
              <w:t xml:space="preserve">Activar módulos y agentes</w:t>
            </w:r>
          </w:p>
          <w:p>
            <w:pPr>
              <w:spacing w:after="0" w:before="0"/>
              <w:jc w:val="left"/>
            </w:pPr>
            <w:r>
              <w:rPr>
                <w:rFonts w:ascii="Arial" w:cs="Arial" w:eastAsia="Arial" w:hAnsi="Arial"/>
                <w:b w:val="false"/>
                <w:bCs w:val="false"/>
                <w:i w:val="false"/>
                <w:iCs w:val="false"/>
                <w:color w:val="1A202C"/>
                <w:sz w:val="18"/>
                <w:szCs w:val="18"/>
              </w:rPr>
              <w:t xml:space="preserve">Selector de módulos: E-Commerce / CRM / ERP / Facturación. Todos inician en modo SUPERVISED — el cliente aprueba las primeras acciones de cada agente antes de pasar a FULL. Duración: ~2 minutos.</w:t>
            </w:r>
          </w:p>
        </w:tc>
      </w:tr>
    </w:tbl>
    <w:p>
      <w:pPr>
        <w:spacing w:after="0"/>
      </w:pPr>
      <w:r>
        <w:t xml:space="preserve"/>
      </w:r>
    </w:p>
    <w:p>
      <w:r>
        <w:br w:type="page"/>
      </w:r>
    </w:p>
    <w:p>
      <w:pPr>
        <w:pStyle w:val="Heading1"/>
        <w:spacing w:after="220" w:before="440"/>
      </w:pPr>
      <w:r>
        <w:rPr>
          <w:rFonts w:ascii="Arial" w:cs="Arial" w:eastAsia="Arial" w:hAnsi="Arial"/>
          <w:b/>
          <w:bCs/>
          <w:i w:val="false"/>
          <w:iCs w:val="false"/>
          <w:color w:val="0A1628"/>
          <w:sz w:val="38"/>
          <w:szCs w:val="38"/>
        </w:rPr>
        <w:t xml:space="preserve">3. PANTALLA: DATOS DE LA EMPRESA Y CFDI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A3050" w:val="clear"/>
            <w:tcMar>
              <w:top w:type="dxa" w:w="100"/>
              <w:left w:type="dxa" w:w="200"/>
              <w:bottom w:type="dxa" w:w="100"/>
              <w:right w:type="dxa" w:w="200"/>
            </w:tcMar>
          </w:tcPr>
          <w:p>
            <w:pPr>
              <w:spacing w:after="40" w:before="0"/>
              <w:jc w:val="left"/>
            </w:pPr>
            <w:r>
              <w:rPr>
                <w:rFonts w:ascii="Arial" w:cs="Arial" w:eastAsia="Arial" w:hAnsi="Arial"/>
                <w:b w:val="false"/>
                <w:bCs w:val="false"/>
                <w:i w:val="false"/>
                <w:iCs w:val="false"/>
                <w:color w:val="E06C75"/>
                <w:sz w:val="16"/>
                <w:szCs w:val="16"/>
              </w:rPr>
              <w:t xml:space="preserve">●  </w:t>
            </w:r>
            <w:r>
              <w:rPr>
                <w:rFonts w:ascii="Arial" w:cs="Arial" w:eastAsia="Arial" w:hAnsi="Arial"/>
                <w:b w:val="false"/>
                <w:bCs w:val="false"/>
                <w:i w:val="false"/>
                <w:iCs w:val="false"/>
                <w:color w:val="E5C07B"/>
                <w:sz w:val="16"/>
                <w:szCs w:val="16"/>
              </w:rPr>
              <w:t xml:space="preserve">●  </w:t>
            </w:r>
            <w:r>
              <w:rPr>
                <w:rFonts w:ascii="Arial" w:cs="Arial" w:eastAsia="Arial" w:hAnsi="Arial"/>
                <w:b w:val="false"/>
                <w:bCs w:val="false"/>
                <w:i w:val="false"/>
                <w:iCs w:val="false"/>
                <w:color w:val="7BC144"/>
                <w:sz w:val="16"/>
                <w:szCs w:val="16"/>
              </w:rPr>
              <w:t xml:space="preserve">●  </w:t>
            </w:r>
            <w:r>
              <w:rPr>
                <w:rFonts w:ascii="Arial" w:cs="Arial" w:eastAsia="Arial" w:hAnsi="Arial"/>
                <w:b/>
                <w:bCs/>
                <w:i w:val="false"/>
                <w:iCs w:val="false"/>
                <w:color w:val="FFFFFF"/>
                <w:sz w:val="17"/>
                <w:szCs w:val="17"/>
              </w:rPr>
              <w:t xml:space="preserve">   Configuración — Empresa y Facturación</w:t>
            </w:r>
          </w:p>
          <w:p>
            <w:pPr>
              <w:spacing w:after="0" w:before="0"/>
              <w:jc w:val="left"/>
            </w:pPr>
            <w:r>
              <w:rPr>
                <w:rFonts w:ascii="Courier New" w:cs="Courier New" w:eastAsia="Courier New" w:hAnsi="Courier New"/>
                <w:b w:val="false"/>
                <w:bCs w:val="false"/>
                <w:i w:val="false"/>
                <w:iCs w:val="false"/>
                <w:color w:val="718096"/>
                <w:sz w:val="15"/>
                <w:szCs w:val="15"/>
              </w:rPr>
              <w:t xml:space="preserve">↗  kinexis.app/dashboard/config/empresa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718096"/>
                <w:sz w:val="17"/>
                <w:szCs w:val="17"/>
              </w:rPr>
              <w:t xml:space="preserve">Acceso requerido: </w:t>
            </w:r>
            <w:r>
              <w:rPr>
                <w:rFonts w:ascii="Arial" w:cs="Arial" w:eastAsia="Arial" w:hAnsi="Arial"/>
                <w:b/>
                <w:bCs/>
                <w:i w:val="false"/>
                <w:iCs w:val="false"/>
                <w:color w:val="2C7A7B"/>
                <w:sz w:val="17"/>
                <w:szCs w:val="17"/>
              </w:rPr>
              <w:t xml:space="preserve">owner | admin</w:t>
            </w:r>
          </w:p>
        </w:tc>
        <w:tc>
          <w:tcPr>
            <w:tcW w:type="dxa" w:w="2160"/>
            <w:tcBorders>
              <w:top w:val="single" w:color="CBD5E0" w:sz="1"/>
              <w:left w:val="single" w:color="CBD5E0" w:sz="1"/>
              <w:bottom w:val="single" w:color="CBD5E0" w:sz="1"/>
              <w:right w:val="single" w:color="CBD5E0" w:sz="1"/>
            </w:tcBorders>
            <w:shd w:fill="0A1628"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7BC144"/>
                <w:sz w:val="17"/>
                <w:szCs w:val="17"/>
              </w:rPr>
              <w:t xml:space="preserve">●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DATOS GENERALES DE LA EMPRESA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Nombre comercial</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Nombre que aparece en el dashboard y comunicaciones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Text input</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Razón social (para CFDI)</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Nombre legal exacto como aparece en el RFC — se imprime en cada factura</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Text input</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Logo de la empresa</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PNG o JPG, fondo transparente. Aparece en CFDIs y cotizaciones B2B</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File upload (PNG/JPG)</w:t>
            </w:r>
          </w:p>
        </w:tc>
        <w:tc>
          <w:tcPr>
            <w:tcW w:type="dxa" w:w="1200"/>
            <w:tcBorders>
              <w:top w:val="single" w:color="CBD5E0" w:sz="1"/>
              <w:left w:val="single" w:color="CBD5E0" w:sz="1"/>
              <w:bottom w:val="single" w:color="CBD5E0" w:sz="1"/>
              <w:right w:val="single" w:color="CBD5E0" w:sz="1"/>
            </w:tcBorders>
            <w:shd w:fill="E6FFFA"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2C7A7B"/>
                <w:sz w:val="16"/>
                <w:szCs w:val="16"/>
              </w:rPr>
              <w:t xml:space="preserve">OPCIONAL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Sitio web</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Para incluir en comunicaciones y CFDIs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URL input</w:t>
            </w:r>
          </w:p>
        </w:tc>
        <w:tc>
          <w:tcPr>
            <w:tcW w:type="dxa" w:w="1200"/>
            <w:tcBorders>
              <w:top w:val="single" w:color="CBD5E0" w:sz="1"/>
              <w:left w:val="single" w:color="CBD5E0" w:sz="1"/>
              <w:bottom w:val="single" w:color="CBD5E0" w:sz="1"/>
              <w:right w:val="single" w:color="CBD5E0" w:sz="1"/>
            </w:tcBorders>
            <w:shd w:fill="E6FFFA"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2C7A7B"/>
                <w:sz w:val="16"/>
                <w:szCs w:val="16"/>
              </w:rPr>
              <w:t xml:space="preserve">OPCIONAL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DATOS FISCALES — EMISOR DE CFDIs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RFC del Emisor</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RFC completo de 12 dígitos. Para Kap Tools: KTO______ (pendiente confirmar con socias). Debe coincidir exactamente con el RFC registrado en el SAT</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Text — validado en tiempo real contra regex SAT</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Régimen Fiscal</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Clave del régimen fiscal del emisor. Kap Tools: 601 (General de Ley Personas Morales)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Select dropdown — catálogo SAT c_RegimenFiscal</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CP de Expedición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Código postal del domicilio fiscal donde se expiden los CFDIs. Debe coincidir con el RFC en el SAT</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5 dígitos numéricos</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Email de facturación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El 'From' de los emails con CFDIs adjuntos. Ej: facturacion@kaptools.mx</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Email validado</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SERIES DE FOLIO CFDI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Serie — Facturas de Ingreso</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Prefijo antes del número de folio. Ej: KT → facturas KT-001, KT-002...</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Text (1-4 chars)</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Serie — Notas de Crédito</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Para CFDIs de Egreso por devoluciones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Text (1-6 chars). Default: KTNC</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Serie — Complementos de Pago</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Para CFDIs de tipo Pago (PPD)</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Text (1-4 chars). Default: KTP</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Número de folio inicial</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El sistema comienza a numerar desde aquí. Si ya tienes CFDIs previos, configurar el número siguiente</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input. Default: 1</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CONFIGURACIÓN FACTURAPI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API Key Facturapi (Producción)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Obtenida en dashboard.facturapi.io → Organización → API Keys. El sistema encripta en Vault inmediatamente</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Password field — muestra solo últimos 4 chars tras guardar</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API Key Facturapi (Sandbox)</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Para pruebas sin timbrar ante el SAT real</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Password field</w:t>
            </w:r>
          </w:p>
        </w:tc>
        <w:tc>
          <w:tcPr>
            <w:tcW w:type="dxa" w:w="1200"/>
            <w:tcBorders>
              <w:top w:val="single" w:color="CBD5E0" w:sz="1"/>
              <w:left w:val="single" w:color="CBD5E0" w:sz="1"/>
              <w:bottom w:val="single" w:color="CBD5E0" w:sz="1"/>
              <w:right w:val="single" w:color="CBD5E0" w:sz="1"/>
            </w:tcBorders>
            <w:shd w:fill="E6FFFA"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2C7A7B"/>
                <w:sz w:val="16"/>
                <w:szCs w:val="16"/>
              </w:rPr>
              <w:t xml:space="preserve">OPCIONAL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Facturapi Org ID</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ID de tu organización en Facturapi. Se obtiene automáticamente al validar la API key</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Auto-completado tras validar API key</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iCs/>
                <w:color w:val="718096"/>
                <w:sz w:val="16"/>
                <w:szCs w:val="16"/>
              </w:rPr>
              <w:t xml:space="preserve">⚡ El sistema valida y prueba la conexión antes de guardar</w:t>
            </w:r>
          </w:p>
        </w:tc>
        <w:tc>
          <w:tcPr>
            <w:tcW w:type="dxa" w:w="2160"/>
            <w:tcBorders>
              <w:top w:val="single" w:color="CBD5E0" w:sz="1"/>
              <w:left w:val="single" w:color="CBD5E0" w:sz="1"/>
              <w:bottom w:val="single" w:color="CBD5E0" w:sz="1"/>
              <w:right w:val="single" w:color="CBD5E0" w:sz="1"/>
            </w:tcBorders>
            <w:shd w:fill="7BC144"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FFFFFF"/>
                <w:sz w:val="17"/>
                <w:szCs w:val="17"/>
              </w:rPr>
              <w:t xml:space="preserve">[ Guardar y Probar ]</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rPr>
          <w:tblHeader w:val="false"/>
        </w:trPr>
        <w:tc>
          <w:tcPr>
            <w:tcW w:type="dxa" w:w="160"/>
            <w:tcBorders>
              <w:top w:val="none" w:color="FFFFFF" w:sz="0"/>
              <w:left w:val="none" w:color="FFFFFF" w:sz="0"/>
              <w:bottom w:val="none" w:color="FFFFFF" w:sz="0"/>
              <w:right w:val="none" w:color="FFFFFF" w:sz="0"/>
            </w:tcBorders>
            <w:shd w:fill="2C7A7B" w:val="clear"/>
            <w:tcMar>
              <w:top w:type="dxa" w:w="0"/>
              <w:left w:type="dxa" w:w="0"/>
              <w:bottom w:type="dxa" w:w="0"/>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c>
          <w:tcPr>
            <w:tcW w:type="dxa" w:w="9200"/>
            <w:tcBorders>
              <w:top w:val="single" w:color="CBD5E0" w:sz="1"/>
              <w:left w:val="none" w:color="FFFFFF" w:sz="0"/>
              <w:bottom w:val="single" w:color="CBD5E0" w:sz="1"/>
              <w:right w:val="single" w:color="CBD5E0" w:sz="1"/>
            </w:tcBorders>
            <w:shd w:fill="E6FFFA" w:val="clear"/>
            <w:tcMar>
              <w:top w:type="dxa" w:w="120"/>
              <w:left w:type="dxa" w:w="200"/>
              <w:bottom w:type="dxa" w:w="120"/>
              <w:right w:type="dxa" w:w="160"/>
            </w:tcMar>
          </w:tcPr>
          <w:p>
            <w:pPr>
              <w:spacing w:after="80" w:before="0"/>
              <w:jc w:val="left"/>
            </w:pPr>
            <w:r>
              <w:rPr>
                <w:rFonts w:ascii="Arial" w:cs="Arial" w:eastAsia="Arial" w:hAnsi="Arial"/>
                <w:b/>
                <w:bCs/>
                <w:i w:val="false"/>
                <w:iCs w:val="false"/>
                <w:color w:val="2C7A7B"/>
                <w:sz w:val="19"/>
                <w:szCs w:val="19"/>
              </w:rPr>
              <w:t xml:space="preserve">Validaciones automáticas de esta pantalla</w:t>
            </w:r>
          </w:p>
          <w:p>
            <w:pPr>
              <w:spacing w:after="50" w:before="0"/>
              <w:jc w:val="left"/>
            </w:pPr>
            <w:r>
              <w:rPr>
                <w:rFonts w:ascii="Arial" w:cs="Arial" w:eastAsia="Arial" w:hAnsi="Arial"/>
                <w:b w:val="false"/>
                <w:bCs w:val="false"/>
                <w:i w:val="false"/>
                <w:iCs w:val="false"/>
                <w:color w:val="1A202C"/>
                <w:sz w:val="18"/>
                <w:szCs w:val="18"/>
              </w:rPr>
              <w:t xml:space="preserve">RFC: validado contra regex /^[A-ZÑ&amp;]{3,4}[0-9]{6}[A-Z0-9]{3}$/ antes de guardar</w:t>
            </w:r>
          </w:p>
          <w:p>
            <w:pPr>
              <w:spacing w:after="50" w:before="0"/>
              <w:jc w:val="left"/>
            </w:pPr>
            <w:r>
              <w:rPr>
                <w:rFonts w:ascii="Arial" w:cs="Arial" w:eastAsia="Arial" w:hAnsi="Arial"/>
                <w:b w:val="false"/>
                <w:bCs w:val="false"/>
                <w:i w:val="false"/>
                <w:iCs w:val="false"/>
                <w:color w:val="1A202C"/>
                <w:sz w:val="18"/>
                <w:szCs w:val="18"/>
              </w:rPr>
              <w:t xml:space="preserve">API Key Facturapi: el sistema hace GET /v2/organizations con la key antes de guardar — si falla, no se guarda</w:t>
            </w:r>
          </w:p>
          <w:p>
            <w:pPr>
              <w:spacing w:after="50" w:before="0"/>
              <w:jc w:val="left"/>
            </w:pPr>
            <w:r>
              <w:rPr>
                <w:rFonts w:ascii="Arial" w:cs="Arial" w:eastAsia="Arial" w:hAnsi="Arial"/>
                <w:b w:val="false"/>
                <w:bCs w:val="false"/>
                <w:i w:val="false"/>
                <w:iCs w:val="false"/>
                <w:color w:val="1A202C"/>
                <w:sz w:val="18"/>
                <w:szCs w:val="18"/>
              </w:rPr>
              <w:t xml:space="preserve">Email de facturación: validado formato + se envía email de prueba al guardar</w:t>
            </w:r>
          </w:p>
          <w:p>
            <w:pPr>
              <w:spacing w:after="50" w:before="0"/>
              <w:jc w:val="left"/>
            </w:pPr>
            <w:r>
              <w:rPr>
                <w:rFonts w:ascii="Arial" w:cs="Arial" w:eastAsia="Arial" w:hAnsi="Arial"/>
                <w:b w:val="false"/>
                <w:bCs w:val="false"/>
                <w:i w:val="false"/>
                <w:iCs w:val="false"/>
                <w:color w:val="1A202C"/>
                <w:sz w:val="18"/>
                <w:szCs w:val="18"/>
              </w:rPr>
              <w:t xml:space="preserve">CP: 5 dígitos numéricos exactos</w:t>
            </w:r>
          </w:p>
          <w:p>
            <w:pPr>
              <w:spacing w:after="50" w:before="0"/>
              <w:jc w:val="left"/>
            </w:pPr>
            <w:r>
              <w:rPr>
                <w:rFonts w:ascii="Arial" w:cs="Arial" w:eastAsia="Arial" w:hAnsi="Arial"/>
                <w:b w:val="false"/>
                <w:bCs w:val="false"/>
                <w:i w:val="false"/>
                <w:iCs w:val="false"/>
                <w:color w:val="1A202C"/>
                <w:sz w:val="18"/>
                <w:szCs w:val="18"/>
              </w:rPr>
              <w:t xml:space="preserve">Todos los datos se guardan en cfdi_tenant_config con audit log del actor y timestamp</w:t>
            </w:r>
          </w:p>
        </w:tc>
      </w:tr>
    </w:tbl>
    <w:p>
      <w:r>
        <w:br w:type="page"/>
      </w:r>
    </w:p>
    <w:p>
      <w:pPr>
        <w:pStyle w:val="Heading1"/>
        <w:spacing w:after="220" w:before="440"/>
      </w:pPr>
      <w:r>
        <w:rPr>
          <w:rFonts w:ascii="Arial" w:cs="Arial" w:eastAsia="Arial" w:hAnsi="Arial"/>
          <w:b/>
          <w:bCs/>
          <w:i w:val="false"/>
          <w:iCs w:val="false"/>
          <w:color w:val="0A1628"/>
          <w:sz w:val="38"/>
          <w:szCs w:val="38"/>
        </w:rPr>
        <w:t xml:space="preserve">4. PANTALLA: MERCADO LIBRE — CONEXIÓN OAUTH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A3050" w:val="clear"/>
            <w:tcMar>
              <w:top w:type="dxa" w:w="100"/>
              <w:left w:type="dxa" w:w="200"/>
              <w:bottom w:type="dxa" w:w="100"/>
              <w:right w:type="dxa" w:w="200"/>
            </w:tcMar>
          </w:tcPr>
          <w:p>
            <w:pPr>
              <w:spacing w:after="40" w:before="0"/>
              <w:jc w:val="left"/>
            </w:pPr>
            <w:r>
              <w:rPr>
                <w:rFonts w:ascii="Arial" w:cs="Arial" w:eastAsia="Arial" w:hAnsi="Arial"/>
                <w:b w:val="false"/>
                <w:bCs w:val="false"/>
                <w:i w:val="false"/>
                <w:iCs w:val="false"/>
                <w:color w:val="E06C75"/>
                <w:sz w:val="16"/>
                <w:szCs w:val="16"/>
              </w:rPr>
              <w:t xml:space="preserve">●  </w:t>
            </w:r>
            <w:r>
              <w:rPr>
                <w:rFonts w:ascii="Arial" w:cs="Arial" w:eastAsia="Arial" w:hAnsi="Arial"/>
                <w:b w:val="false"/>
                <w:bCs w:val="false"/>
                <w:i w:val="false"/>
                <w:iCs w:val="false"/>
                <w:color w:val="E5C07B"/>
                <w:sz w:val="16"/>
                <w:szCs w:val="16"/>
              </w:rPr>
              <w:t xml:space="preserve">●  </w:t>
            </w:r>
            <w:r>
              <w:rPr>
                <w:rFonts w:ascii="Arial" w:cs="Arial" w:eastAsia="Arial" w:hAnsi="Arial"/>
                <w:b w:val="false"/>
                <w:bCs w:val="false"/>
                <w:i w:val="false"/>
                <w:iCs w:val="false"/>
                <w:color w:val="7BC144"/>
                <w:sz w:val="16"/>
                <w:szCs w:val="16"/>
              </w:rPr>
              <w:t xml:space="preserve">●  </w:t>
            </w:r>
            <w:r>
              <w:rPr>
                <w:rFonts w:ascii="Arial" w:cs="Arial" w:eastAsia="Arial" w:hAnsi="Arial"/>
                <w:b/>
                <w:bCs/>
                <w:i w:val="false"/>
                <w:iCs w:val="false"/>
                <w:color w:val="FFFFFF"/>
                <w:sz w:val="17"/>
                <w:szCs w:val="17"/>
              </w:rPr>
              <w:t xml:space="preserve">   Configuración — Mercado Libre</w:t>
            </w:r>
          </w:p>
          <w:p>
            <w:pPr>
              <w:spacing w:after="0" w:before="0"/>
              <w:jc w:val="left"/>
            </w:pPr>
            <w:r>
              <w:rPr>
                <w:rFonts w:ascii="Courier New" w:cs="Courier New" w:eastAsia="Courier New" w:hAnsi="Courier New"/>
                <w:b w:val="false"/>
                <w:bCs w:val="false"/>
                <w:i w:val="false"/>
                <w:iCs w:val="false"/>
                <w:color w:val="718096"/>
                <w:sz w:val="15"/>
                <w:szCs w:val="15"/>
              </w:rPr>
              <w:t xml:space="preserve">↗  kinexis.app/dashboard/config/integrations/mercadolibre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718096"/>
                <w:sz w:val="17"/>
                <w:szCs w:val="17"/>
              </w:rPr>
              <w:t xml:space="preserve">Acceso requerido: </w:t>
            </w:r>
            <w:r>
              <w:rPr>
                <w:rFonts w:ascii="Arial" w:cs="Arial" w:eastAsia="Arial" w:hAnsi="Arial"/>
                <w:b/>
                <w:bCs/>
                <w:i w:val="false"/>
                <w:iCs w:val="false"/>
                <w:color w:val="2C7A7B"/>
                <w:sz w:val="17"/>
                <w:szCs w:val="17"/>
              </w:rPr>
              <w:t xml:space="preserve">owner | admin</w:t>
            </w:r>
          </w:p>
        </w:tc>
        <w:tc>
          <w:tcPr>
            <w:tcW w:type="dxa" w:w="2160"/>
            <w:tcBorders>
              <w:top w:val="single" w:color="CBD5E0" w:sz="1"/>
              <w:left w:val="single" w:color="CBD5E0" w:sz="1"/>
              <w:bottom w:val="single" w:color="CBD5E0" w:sz="1"/>
              <w:right w:val="single" w:color="CBD5E0" w:sz="1"/>
            </w:tcBorders>
            <w:shd w:fill="0A1628"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7BC144"/>
                <w:sz w:val="17"/>
                <w:szCs w:val="17"/>
              </w:rPr>
              <w:t xml:space="preserve">●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STATUS DE CONEXIÓN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Status actual</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Verde = conectado y funcionando | Rojo = sin conectar o token expirado</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Badge automático</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Cuenta conectada</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Email y nombre de la cuenta ML conectada</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Auto-obtenido tras autorizar</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Permisos activos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Lista de scopes autorizados: read, write, offline_access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Lista automática post-auth</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CONECTAR MERCADO LIBRE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Botón — Autorizar con ML</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Abre el flujo OAuth de ML. El instalador/admin completa la autorización en la ventana de ML y el sistema captura el token automáticamente</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OAuth button → redirect → callback automático</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Token de acceso</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Guardado automáticamente en Vault tras la autorización. No editable manualmente</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Auto — Vault (pgsodium)</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Token de refresco</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KINEXIS renueva el access token automáticamente usando el refresh token. El usuario no necesita re-autorizar</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Auto — Vault, renovación automática</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CONFIGURACIÓN 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Site ID</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Sitio de ML donde opera el vendedor. Para México: MLA (Mexico). Se detecta automáticamente</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Auto-detectado. Select si opera en múltiples países</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Seller ID</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ID único del vendedor en ML. Se obtiene automáticamente al conectar</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Auto-obtenido: GET /users/me</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Modo de envío principal</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ML FULL (Fulfillment por ML) o Envío propio (el vendedor genera las guías)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Select: ML FULL | Envío Propio | Ambos</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Auto-respuesta de preguntas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¿El ML Question Handler Agent responde automáticamente?</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Toggle ON/OFF. Default: ON (modo SUPERVISED al inicio)</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Tiempo límite de respuesta (horas)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SLA interno. ML penaliza si se supera el límite oficial de 24h. KINEXIS alerta antes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Default: 2</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iCs/>
                <w:color w:val="718096"/>
                <w:sz w:val="16"/>
                <w:szCs w:val="16"/>
              </w:rPr>
              <w:t xml:space="preserve">⚡ El sistema valida y prueba la conexión antes de guardar</w:t>
            </w:r>
          </w:p>
        </w:tc>
        <w:tc>
          <w:tcPr>
            <w:tcW w:type="dxa" w:w="2160"/>
            <w:tcBorders>
              <w:top w:val="single" w:color="CBD5E0" w:sz="1"/>
              <w:left w:val="single" w:color="CBD5E0" w:sz="1"/>
              <w:bottom w:val="single" w:color="CBD5E0" w:sz="1"/>
              <w:right w:val="single" w:color="CBD5E0" w:sz="1"/>
            </w:tcBorders>
            <w:shd w:fill="7BC144"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FFFFFF"/>
                <w:sz w:val="17"/>
                <w:szCs w:val="17"/>
              </w:rPr>
              <w:t xml:space="preserve">[ Guardar y Probar ]</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pacing w:after="40" w:before="0"/>
              <w:jc w:val="left"/>
            </w:pPr>
            <w:r>
              <w:rPr>
                <w:rFonts w:ascii="Courier New" w:cs="Courier New" w:eastAsia="Courier New" w:hAnsi="Courier New"/>
                <w:b w:val="false"/>
                <w:bCs w:val="false"/>
                <w:i w:val="false"/>
                <w:iCs w:val="false"/>
                <w:color w:val="6C7086"/>
                <w:sz w:val="17"/>
                <w:szCs w:val="17"/>
              </w:rPr>
              <w:t xml:space="preserve"># Flujo OAuth ML — implementación del callback</w:t>
            </w:r>
          </w:p>
          <w:p>
            <w:pPr>
              <w:spacing w:after="40" w:before="0"/>
              <w:jc w:val="left"/>
            </w:pPr>
            <w:r>
              <w:rPr>
                <w:rFonts w:ascii="Courier New" w:cs="Courier New" w:eastAsia="Courier New" w:hAnsi="Courier New"/>
                <w:b w:val="false"/>
                <w:bCs w:val="false"/>
                <w:i w:val="false"/>
                <w:iCs w:val="false"/>
                <w:color w:val="6C7086"/>
                <w:sz w:val="17"/>
                <w:szCs w:val="17"/>
              </w:rPr>
              <w:t xml:space="preserve"># src/adapters/ml_adapter.py::handle_oauth_callback()</w:t>
            </w:r>
          </w:p>
          <w:p>
            <w:pPr>
              <w:spacing w:after="40" w:before="0"/>
              <w:jc w:val="left"/>
            </w:pPr>
            <w:r>
              <w:rPr>
                <w:rFonts w:ascii="Courier New" w:cs="Courier New" w:eastAsia="Courier New" w:hAnsi="Courier New"/>
                <w:b w:val="false"/>
                <w:bCs w:val="false"/>
                <w:i w:val="false"/>
                <w:iCs w:val="false"/>
                <w:color w:val="CDD6F4"/>
                <w:sz w:val="17"/>
                <w:szCs w:val="17"/>
              </w:rPr>
              <w:t xml:space="default"/>
            </w:r>
          </w:p>
          <w:p>
            <w:pPr>
              <w:spacing w:after="40" w:before="0"/>
              <w:jc w:val="left"/>
            </w:pPr>
            <w:r>
              <w:rPr>
                <w:rFonts w:ascii="Courier New" w:cs="Courier New" w:eastAsia="Courier New" w:hAnsi="Courier New"/>
                <w:b w:val="false"/>
                <w:bCs w:val="false"/>
                <w:i w:val="false"/>
                <w:iCs w:val="false"/>
                <w:color w:val="A6E3A1"/>
                <w:sz w:val="17"/>
                <w:szCs w:val="17"/>
              </w:rPr>
              <w:t xml:space="preserve">async def handle_oauth_callback(code: str, tenant_id: str):</w:t>
            </w:r>
          </w:p>
          <w:p>
            <w:pPr>
              <w:spacing w:after="40" w:before="0"/>
              <w:jc w:val="left"/>
            </w:pPr>
            <w:r>
              <w:rPr>
                <w:rFonts w:ascii="Courier New" w:cs="Courier New" w:eastAsia="Courier New" w:hAnsi="Courier New"/>
                <w:b w:val="false"/>
                <w:bCs w:val="false"/>
                <w:i w:val="false"/>
                <w:iCs w:val="false"/>
                <w:color w:val="6C7086"/>
                <w:sz w:val="17"/>
                <w:szCs w:val="17"/>
              </w:rPr>
              <w:t xml:space="preserve">    # 1. Intercambiar code por tokens</w:t>
            </w:r>
          </w:p>
          <w:p>
            <w:pPr>
              <w:spacing w:after="40" w:before="0"/>
              <w:jc w:val="left"/>
            </w:pPr>
            <w:r>
              <w:rPr>
                <w:rFonts w:ascii="Courier New" w:cs="Courier New" w:eastAsia="Courier New" w:hAnsi="Courier New"/>
                <w:b w:val="false"/>
                <w:bCs w:val="false"/>
                <w:i w:val="false"/>
                <w:iCs w:val="false"/>
                <w:color w:val="CDD6F4"/>
                <w:sz w:val="17"/>
                <w:szCs w:val="17"/>
              </w:rPr>
              <w:t xml:space="preserve">    tokens = await requests.post('https://api.mercadolibre.com/oauth/token', data={</w:t>
            </w:r>
          </w:p>
          <w:p>
            <w:pPr>
              <w:spacing w:after="40" w:before="0"/>
              <w:jc w:val="left"/>
            </w:pPr>
            <w:r>
              <w:rPr>
                <w:rFonts w:ascii="Courier New" w:cs="Courier New" w:eastAsia="Courier New" w:hAnsi="Courier New"/>
                <w:b w:val="false"/>
                <w:bCs w:val="false"/>
                <w:i w:val="false"/>
                <w:iCs w:val="false"/>
                <w:color w:val="CDD6F4"/>
                <w:sz w:val="17"/>
                <w:szCs w:val="17"/>
              </w:rPr>
              <w:t xml:space="preserve">        'grant_type': 'authorization_code', 'code': code,</w:t>
            </w:r>
          </w:p>
          <w:p>
            <w:pPr>
              <w:spacing w:after="40" w:before="0"/>
              <w:jc w:val="left"/>
            </w:pPr>
            <w:r>
              <w:rPr>
                <w:rFonts w:ascii="Courier New" w:cs="Courier New" w:eastAsia="Courier New" w:hAnsi="Courier New"/>
                <w:b w:val="false"/>
                <w:bCs w:val="false"/>
                <w:i w:val="false"/>
                <w:iCs w:val="false"/>
                <w:color w:val="CDD6F4"/>
                <w:sz w:val="17"/>
                <w:szCs w:val="17"/>
              </w:rPr>
              <w:t xml:space="preserve">        'redirect_uri': KINEXIS_CALLBACK_URL,</w:t>
            </w:r>
          </w:p>
          <w:p>
            <w:pPr>
              <w:spacing w:after="40" w:before="0"/>
              <w:jc w:val="left"/>
            </w:pPr>
            <w:r>
              <w:rPr>
                <w:rFonts w:ascii="Courier New" w:cs="Courier New" w:eastAsia="Courier New" w:hAnsi="Courier New"/>
                <w:b w:val="false"/>
                <w:bCs w:val="false"/>
                <w:i w:val="false"/>
                <w:iCs w:val="false"/>
                <w:color w:val="6C7086"/>
                <w:sz w:val="17"/>
                <w:szCs w:val="17"/>
              </w:rPr>
              <w:t xml:space="preserve">        'client_id': ML_APP_ID,   # Del .env de Atollom Labs (no del cliente)</w:t>
            </w:r>
          </w:p>
          <w:p>
            <w:pPr>
              <w:spacing w:after="40" w:before="0"/>
              <w:jc w:val="left"/>
            </w:pPr>
            <w:r>
              <w:rPr>
                <w:rFonts w:ascii="Courier New" w:cs="Courier New" w:eastAsia="Courier New" w:hAnsi="Courier New"/>
                <w:b w:val="false"/>
                <w:bCs w:val="false"/>
                <w:i w:val="false"/>
                <w:iCs w:val="false"/>
                <w:color w:val="6C7086"/>
                <w:sz w:val="17"/>
                <w:szCs w:val="17"/>
              </w:rPr>
              <w:t xml:space="preserve">        'client_secret': ML_APP_SECRET  # Del .env de Atollom Labs</w:t>
            </w:r>
          </w:p>
          <w:p>
            <w:pPr>
              <w:spacing w:after="40" w:before="0"/>
              <w:jc w:val="left"/>
            </w:pPr>
            <w:r>
              <w:rPr>
                <w:rFonts w:ascii="Courier New" w:cs="Courier New" w:eastAsia="Courier New" w:hAnsi="Courier New"/>
                <w:b w:val="false"/>
                <w:bCs w:val="false"/>
                <w:i w:val="false"/>
                <w:iCs w:val="false"/>
                <w:color w:val="CDD6F4"/>
                <w:sz w:val="17"/>
                <w:szCs w:val="17"/>
              </w:rPr>
              <w:t xml:space="preserve">    })</w:t>
            </w:r>
          </w:p>
          <w:p>
            <w:pPr>
              <w:spacing w:after="40" w:before="0"/>
              <w:jc w:val="left"/>
            </w:pPr>
            <w:r>
              <w:rPr>
                <w:rFonts w:ascii="Courier New" w:cs="Courier New" w:eastAsia="Courier New" w:hAnsi="Courier New"/>
                <w:b w:val="false"/>
                <w:bCs w:val="false"/>
                <w:i w:val="false"/>
                <w:iCs w:val="false"/>
                <w:color w:val="6C7086"/>
                <w:sz w:val="17"/>
                <w:szCs w:val="17"/>
              </w:rPr>
              <w:t xml:space="preserve">    # 2. Encriptar y guardar en Vault</w:t>
            </w:r>
          </w:p>
          <w:p>
            <w:pPr>
              <w:spacing w:after="40" w:before="0"/>
              <w:jc w:val="left"/>
            </w:pPr>
            <w:r>
              <w:rPr>
                <w:rFonts w:ascii="Courier New" w:cs="Courier New" w:eastAsia="Courier New" w:hAnsi="Courier New"/>
                <w:b w:val="false"/>
                <w:bCs w:val="false"/>
                <w:i w:val="false"/>
                <w:iCs w:val="false"/>
                <w:color w:val="F9E2AF"/>
                <w:sz w:val="17"/>
                <w:szCs w:val="17"/>
              </w:rPr>
              <w:t xml:space="preserve">    await vault.set(tenant_id, 'ml_access_token',  tokens['access_token'])</w:t>
            </w:r>
          </w:p>
          <w:p>
            <w:pPr>
              <w:spacing w:after="40" w:before="0"/>
              <w:jc w:val="left"/>
            </w:pPr>
            <w:r>
              <w:rPr>
                <w:rFonts w:ascii="Courier New" w:cs="Courier New" w:eastAsia="Courier New" w:hAnsi="Courier New"/>
                <w:b w:val="false"/>
                <w:bCs w:val="false"/>
                <w:i w:val="false"/>
                <w:iCs w:val="false"/>
                <w:color w:val="F9E2AF"/>
                <w:sz w:val="17"/>
                <w:szCs w:val="17"/>
              </w:rPr>
              <w:t xml:space="preserve">    await vault.set(tenant_id, 'ml_refresh_token', tokens['refresh_token'])</w:t>
            </w:r>
          </w:p>
          <w:p>
            <w:pPr>
              <w:spacing w:after="40" w:before="0"/>
              <w:jc w:val="left"/>
            </w:pPr>
            <w:r>
              <w:rPr>
                <w:rFonts w:ascii="Courier New" w:cs="Courier New" w:eastAsia="Courier New" w:hAnsi="Courier New"/>
                <w:b w:val="false"/>
                <w:bCs w:val="false"/>
                <w:i w:val="false"/>
                <w:iCs w:val="false"/>
                <w:color w:val="6C7086"/>
                <w:sz w:val="17"/>
                <w:szCs w:val="17"/>
              </w:rPr>
              <w:t xml:space="preserve">    # 3. Obtener datos del vendedor para mostrar en dashboard</w:t>
            </w:r>
          </w:p>
          <w:p>
            <w:pPr>
              <w:spacing w:after="40" w:before="0"/>
              <w:jc w:val="left"/>
            </w:pPr>
            <w:r>
              <w:rPr>
                <w:rFonts w:ascii="Courier New" w:cs="Courier New" w:eastAsia="Courier New" w:hAnsi="Courier New"/>
                <w:b w:val="false"/>
                <w:bCs w:val="false"/>
                <w:i w:val="false"/>
                <w:iCs w:val="false"/>
                <w:color w:val="CDD6F4"/>
                <w:sz w:val="17"/>
                <w:szCs w:val="17"/>
              </w:rPr>
              <w:t xml:space="preserve">    seller = await ml_get('/users/me', tenant_id)</w:t>
            </w:r>
          </w:p>
          <w:p>
            <w:pPr>
              <w:spacing w:after="40" w:before="0"/>
              <w:jc w:val="left"/>
            </w:pPr>
            <w:r>
              <w:rPr>
                <w:rFonts w:ascii="Courier New" w:cs="Courier New" w:eastAsia="Courier New" w:hAnsi="Courier New"/>
                <w:b w:val="false"/>
                <w:bCs w:val="false"/>
                <w:i w:val="false"/>
                <w:iCs w:val="false"/>
                <w:color w:val="CDD6F4"/>
                <w:sz w:val="17"/>
                <w:szCs w:val="17"/>
              </w:rPr>
              <w:t xml:space="preserve">    await supabase.table('tenant_config').upsert({</w:t>
            </w:r>
          </w:p>
          <w:p>
            <w:pPr>
              <w:spacing w:after="40" w:before="0"/>
              <w:jc w:val="left"/>
            </w:pPr>
            <w:r>
              <w:rPr>
                <w:rFonts w:ascii="Courier New" w:cs="Courier New" w:eastAsia="Courier New" w:hAnsi="Courier New"/>
                <w:b w:val="false"/>
                <w:bCs w:val="false"/>
                <w:i w:val="false"/>
                <w:iCs w:val="false"/>
                <w:color w:val="CDD6F4"/>
                <w:sz w:val="17"/>
                <w:szCs w:val="17"/>
              </w:rPr>
              <w:t xml:space="preserve">        'tenant_id': tenant_id, 'ml_seller_id': seller['id'],</w:t>
            </w:r>
          </w:p>
          <w:p>
            <w:pPr>
              <w:spacing w:after="40" w:before="0"/>
              <w:jc w:val="left"/>
            </w:pPr>
            <w:r>
              <w:rPr>
                <w:rFonts w:ascii="Courier New" w:cs="Courier New" w:eastAsia="Courier New" w:hAnsi="Courier New"/>
                <w:b w:val="false"/>
                <w:bCs w:val="false"/>
                <w:i w:val="false"/>
                <w:iCs w:val="false"/>
                <w:color w:val="CDD6F4"/>
                <w:sz w:val="17"/>
                <w:szCs w:val="17"/>
              </w:rPr>
              <w:t xml:space="preserve">        'ml_site_id': seller['site_id'], 'ml_connected': True</w:t>
            </w:r>
          </w:p>
          <w:p>
            <w:pPr>
              <w:spacing w:after="40" w:before="0"/>
              <w:jc w:val="left"/>
            </w:pPr>
            <w:r>
              <w:rPr>
                <w:rFonts w:ascii="Courier New" w:cs="Courier New" w:eastAsia="Courier New" w:hAnsi="Courier New"/>
                <w:b w:val="false"/>
                <w:bCs w:val="false"/>
                <w:i w:val="false"/>
                <w:iCs w:val="false"/>
                <w:color w:val="CDD6F4"/>
                <w:sz w:val="17"/>
                <w:szCs w:val="17"/>
              </w:rPr>
              <w:t xml:space="preserve">    })</w:t>
            </w:r>
          </w:p>
          <w:p>
            <w:pPr>
              <w:spacing w:after="40" w:before="0"/>
              <w:jc w:val="left"/>
            </w:pPr>
            <w:r>
              <w:rPr>
                <w:rFonts w:ascii="Courier New" w:cs="Courier New" w:eastAsia="Courier New" w:hAnsi="Courier New"/>
                <w:b w:val="false"/>
                <w:bCs w:val="false"/>
                <w:i w:val="false"/>
                <w:iCs w:val="false"/>
                <w:color w:val="6C7086"/>
                <w:sz w:val="17"/>
                <w:szCs w:val="17"/>
              </w:rPr>
              <w:t xml:space="preserve">    # 4. Marcar credencial como válida</w:t>
            </w:r>
          </w:p>
          <w:p>
            <w:pPr>
              <w:spacing w:after="40" w:before="0"/>
              <w:jc w:val="left"/>
            </w:pPr>
            <w:r>
              <w:rPr>
                <w:rFonts w:ascii="Courier New" w:cs="Courier New" w:eastAsia="Courier New" w:hAnsi="Courier New"/>
                <w:b w:val="false"/>
                <w:bCs w:val="false"/>
                <w:i w:val="false"/>
                <w:iCs w:val="false"/>
                <w:color w:val="A6E3A1"/>
                <w:sz w:val="17"/>
                <w:szCs w:val="17"/>
              </w:rPr>
              <w:t xml:space="preserve">    await mark_credential_valid(tenant_id, 'mercadolibre')</w:t>
            </w:r>
          </w:p>
        </w:tc>
      </w:tr>
    </w:tbl>
    <w:p>
      <w:r>
        <w:br w:type="page"/>
      </w:r>
    </w:p>
    <w:p>
      <w:pPr>
        <w:pStyle w:val="Heading1"/>
        <w:spacing w:after="220" w:before="440"/>
      </w:pPr>
      <w:r>
        <w:rPr>
          <w:rFonts w:ascii="Arial" w:cs="Arial" w:eastAsia="Arial" w:hAnsi="Arial"/>
          <w:b/>
          <w:bCs/>
          <w:i w:val="false"/>
          <w:iCs w:val="false"/>
          <w:color w:val="0A1628"/>
          <w:sz w:val="38"/>
          <w:szCs w:val="38"/>
        </w:rPr>
        <w:t xml:space="preserve">5. PANTALLA: AMAZON SELLING PARTNER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A3050" w:val="clear"/>
            <w:tcMar>
              <w:top w:type="dxa" w:w="100"/>
              <w:left w:type="dxa" w:w="200"/>
              <w:bottom w:type="dxa" w:w="100"/>
              <w:right w:type="dxa" w:w="200"/>
            </w:tcMar>
          </w:tcPr>
          <w:p>
            <w:pPr>
              <w:spacing w:after="40" w:before="0"/>
              <w:jc w:val="left"/>
            </w:pPr>
            <w:r>
              <w:rPr>
                <w:rFonts w:ascii="Arial" w:cs="Arial" w:eastAsia="Arial" w:hAnsi="Arial"/>
                <w:b w:val="false"/>
                <w:bCs w:val="false"/>
                <w:i w:val="false"/>
                <w:iCs w:val="false"/>
                <w:color w:val="E06C75"/>
                <w:sz w:val="16"/>
                <w:szCs w:val="16"/>
              </w:rPr>
              <w:t xml:space="preserve">●  </w:t>
            </w:r>
            <w:r>
              <w:rPr>
                <w:rFonts w:ascii="Arial" w:cs="Arial" w:eastAsia="Arial" w:hAnsi="Arial"/>
                <w:b w:val="false"/>
                <w:bCs w:val="false"/>
                <w:i w:val="false"/>
                <w:iCs w:val="false"/>
                <w:color w:val="E5C07B"/>
                <w:sz w:val="16"/>
                <w:szCs w:val="16"/>
              </w:rPr>
              <w:t xml:space="preserve">●  </w:t>
            </w:r>
            <w:r>
              <w:rPr>
                <w:rFonts w:ascii="Arial" w:cs="Arial" w:eastAsia="Arial" w:hAnsi="Arial"/>
                <w:b w:val="false"/>
                <w:bCs w:val="false"/>
                <w:i w:val="false"/>
                <w:iCs w:val="false"/>
                <w:color w:val="7BC144"/>
                <w:sz w:val="16"/>
                <w:szCs w:val="16"/>
              </w:rPr>
              <w:t xml:space="preserve">●  </w:t>
            </w:r>
            <w:r>
              <w:rPr>
                <w:rFonts w:ascii="Arial" w:cs="Arial" w:eastAsia="Arial" w:hAnsi="Arial"/>
                <w:b/>
                <w:bCs/>
                <w:i w:val="false"/>
                <w:iCs w:val="false"/>
                <w:color w:val="FFFFFF"/>
                <w:sz w:val="17"/>
                <w:szCs w:val="17"/>
              </w:rPr>
              <w:t xml:space="preserve">   Configuración — Amazon SP-API</w:t>
            </w:r>
          </w:p>
          <w:p>
            <w:pPr>
              <w:spacing w:after="0" w:before="0"/>
              <w:jc w:val="left"/>
            </w:pPr>
            <w:r>
              <w:rPr>
                <w:rFonts w:ascii="Courier New" w:cs="Courier New" w:eastAsia="Courier New" w:hAnsi="Courier New"/>
                <w:b w:val="false"/>
                <w:bCs w:val="false"/>
                <w:i w:val="false"/>
                <w:iCs w:val="false"/>
                <w:color w:val="718096"/>
                <w:sz w:val="15"/>
                <w:szCs w:val="15"/>
              </w:rPr>
              <w:t xml:space="preserve">↗  kinexis.app/dashboard/config/integrations/amazon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718096"/>
                <w:sz w:val="17"/>
                <w:szCs w:val="17"/>
              </w:rPr>
              <w:t xml:space="preserve">Acceso requerido: </w:t>
            </w:r>
            <w:r>
              <w:rPr>
                <w:rFonts w:ascii="Arial" w:cs="Arial" w:eastAsia="Arial" w:hAnsi="Arial"/>
                <w:b/>
                <w:bCs/>
                <w:i w:val="false"/>
                <w:iCs w:val="false"/>
                <w:color w:val="2C7A7B"/>
                <w:sz w:val="17"/>
                <w:szCs w:val="17"/>
              </w:rPr>
              <w:t xml:space="preserve">owner | admin</w:t>
            </w:r>
          </w:p>
        </w:tc>
        <w:tc>
          <w:tcPr>
            <w:tcW w:type="dxa" w:w="2160"/>
            <w:tcBorders>
              <w:top w:val="single" w:color="CBD5E0" w:sz="1"/>
              <w:left w:val="single" w:color="CBD5E0" w:sz="1"/>
              <w:bottom w:val="single" w:color="CBD5E0" w:sz="1"/>
              <w:right w:val="single" w:color="CBD5E0" w:sz="1"/>
            </w:tcBorders>
            <w:shd w:fill="0A1628"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7BC144"/>
                <w:sz w:val="17"/>
                <w:szCs w:val="17"/>
              </w:rPr>
              <w:t xml:space="preserve">●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STATUS Y CUENTA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Status de conexión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Verde = SP-API autorizada | Rojo = sin autorizar o error</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Badge automático</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Marketplace activo</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Mexico (A1AM78C64UM0Y8) es el default para Kap Tools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Select marketplace. Default: Mexico</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CREDENCIALES SP-API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Client ID (LWA)</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Login with Amazon Client ID. Obtenido en Seller Central → Aplicaciones → Credenciales de la API</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Text input → guardado en Vault</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Client Secret (LWA)</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Login with Amazon Client Secret</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Password → Vault</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Refresh Token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Obtenido al autorizar la aplicación SP-API de KINEXIS en Seller Central. El instalador sigue los pasos guiados en el dashboard</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OAuth flow guiado paso a paso</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Seller ID</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ID del vendedor en Amazon. Auto-obtenido al validar las credenciales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Auto: GetMarketplaceParticipations</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CONFIGURACIÓN FBA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FBA habilitado</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¿El vendedor usa Fulfillment by Amazon?</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Toggle ON/OFF</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Stock mínimo FBA (días)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Días de ventas que KINEXIS intenta mantener en los almacenes de Amazon</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Default: 30</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Alerta de stock FBA (días)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Cuándo alertar a las socias para reenviar inventario a Amazon</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Default: 7</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Auto-confirmación de órdenes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¿El Amazon Orders Agent confirma órdenes automáticamente?</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Toggle. Default: ON (SUPERVISED al inicio)</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iCs/>
                <w:color w:val="718096"/>
                <w:sz w:val="16"/>
                <w:szCs w:val="16"/>
              </w:rPr>
              <w:t xml:space="preserve">⚡ El sistema valida y prueba la conexión antes de guardar</w:t>
            </w:r>
          </w:p>
        </w:tc>
        <w:tc>
          <w:tcPr>
            <w:tcW w:type="dxa" w:w="2160"/>
            <w:tcBorders>
              <w:top w:val="single" w:color="CBD5E0" w:sz="1"/>
              <w:left w:val="single" w:color="CBD5E0" w:sz="1"/>
              <w:bottom w:val="single" w:color="CBD5E0" w:sz="1"/>
              <w:right w:val="single" w:color="CBD5E0" w:sz="1"/>
            </w:tcBorders>
            <w:shd w:fill="7BC144"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FFFFFF"/>
                <w:sz w:val="17"/>
                <w:szCs w:val="17"/>
              </w:rPr>
              <w:t xml:space="preserve">[ Guardar y Probar ]</w:t>
            </w:r>
          </w:p>
        </w:tc>
      </w:tr>
    </w:tbl>
    <w:p>
      <w:pPr>
        <w:spacing w:after="0"/>
      </w:pPr>
      <w:r>
        <w:t xml:space="preserve"/>
      </w:r>
    </w:p>
    <w:p>
      <w:r>
        <w:br w:type="page"/>
      </w:r>
    </w:p>
    <w:p>
      <w:pPr>
        <w:pStyle w:val="Heading1"/>
        <w:spacing w:after="220" w:before="440"/>
      </w:pPr>
      <w:r>
        <w:rPr>
          <w:rFonts w:ascii="Arial" w:cs="Arial" w:eastAsia="Arial" w:hAnsi="Arial"/>
          <w:b/>
          <w:bCs/>
          <w:i w:val="false"/>
          <w:iCs w:val="false"/>
          <w:color w:val="0A1628"/>
          <w:sz w:val="38"/>
          <w:szCs w:val="38"/>
        </w:rPr>
        <w:t xml:space="preserve">6. PANTALLA: SHOPIFY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A3050" w:val="clear"/>
            <w:tcMar>
              <w:top w:type="dxa" w:w="100"/>
              <w:left w:type="dxa" w:w="200"/>
              <w:bottom w:type="dxa" w:w="100"/>
              <w:right w:type="dxa" w:w="200"/>
            </w:tcMar>
          </w:tcPr>
          <w:p>
            <w:pPr>
              <w:spacing w:after="40" w:before="0"/>
              <w:jc w:val="left"/>
            </w:pPr>
            <w:r>
              <w:rPr>
                <w:rFonts w:ascii="Arial" w:cs="Arial" w:eastAsia="Arial" w:hAnsi="Arial"/>
                <w:b w:val="false"/>
                <w:bCs w:val="false"/>
                <w:i w:val="false"/>
                <w:iCs w:val="false"/>
                <w:color w:val="E06C75"/>
                <w:sz w:val="16"/>
                <w:szCs w:val="16"/>
              </w:rPr>
              <w:t xml:space="preserve">●  </w:t>
            </w:r>
            <w:r>
              <w:rPr>
                <w:rFonts w:ascii="Arial" w:cs="Arial" w:eastAsia="Arial" w:hAnsi="Arial"/>
                <w:b w:val="false"/>
                <w:bCs w:val="false"/>
                <w:i w:val="false"/>
                <w:iCs w:val="false"/>
                <w:color w:val="E5C07B"/>
                <w:sz w:val="16"/>
                <w:szCs w:val="16"/>
              </w:rPr>
              <w:t xml:space="preserve">●  </w:t>
            </w:r>
            <w:r>
              <w:rPr>
                <w:rFonts w:ascii="Arial" w:cs="Arial" w:eastAsia="Arial" w:hAnsi="Arial"/>
                <w:b w:val="false"/>
                <w:bCs w:val="false"/>
                <w:i w:val="false"/>
                <w:iCs w:val="false"/>
                <w:color w:val="7BC144"/>
                <w:sz w:val="16"/>
                <w:szCs w:val="16"/>
              </w:rPr>
              <w:t xml:space="preserve">●  </w:t>
            </w:r>
            <w:r>
              <w:rPr>
                <w:rFonts w:ascii="Arial" w:cs="Arial" w:eastAsia="Arial" w:hAnsi="Arial"/>
                <w:b/>
                <w:bCs/>
                <w:i w:val="false"/>
                <w:iCs w:val="false"/>
                <w:color w:val="FFFFFF"/>
                <w:sz w:val="17"/>
                <w:szCs w:val="17"/>
              </w:rPr>
              <w:t xml:space="preserve">   Configuración — Shopify</w:t>
            </w:r>
          </w:p>
          <w:p>
            <w:pPr>
              <w:spacing w:after="0" w:before="0"/>
              <w:jc w:val="left"/>
            </w:pPr>
            <w:r>
              <w:rPr>
                <w:rFonts w:ascii="Courier New" w:cs="Courier New" w:eastAsia="Courier New" w:hAnsi="Courier New"/>
                <w:b w:val="false"/>
                <w:bCs w:val="false"/>
                <w:i w:val="false"/>
                <w:iCs w:val="false"/>
                <w:color w:val="718096"/>
                <w:sz w:val="15"/>
                <w:szCs w:val="15"/>
              </w:rPr>
              <w:t xml:space="preserve">↗  kinexis.app/dashboard/config/integrations/shopify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718096"/>
                <w:sz w:val="17"/>
                <w:szCs w:val="17"/>
              </w:rPr>
              <w:t xml:space="preserve">Acceso requerido: </w:t>
            </w:r>
            <w:r>
              <w:rPr>
                <w:rFonts w:ascii="Arial" w:cs="Arial" w:eastAsia="Arial" w:hAnsi="Arial"/>
                <w:b/>
                <w:bCs/>
                <w:i w:val="false"/>
                <w:iCs w:val="false"/>
                <w:color w:val="2C7A7B"/>
                <w:sz w:val="17"/>
                <w:szCs w:val="17"/>
              </w:rPr>
              <w:t xml:space="preserve">owner | admin</w:t>
            </w:r>
          </w:p>
        </w:tc>
        <w:tc>
          <w:tcPr>
            <w:tcW w:type="dxa" w:w="2160"/>
            <w:tcBorders>
              <w:top w:val="single" w:color="CBD5E0" w:sz="1"/>
              <w:left w:val="single" w:color="CBD5E0" w:sz="1"/>
              <w:bottom w:val="single" w:color="CBD5E0" w:sz="1"/>
              <w:right w:val="single" w:color="CBD5E0" w:sz="1"/>
            </w:tcBorders>
            <w:shd w:fill="0A1628"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7BC144"/>
                <w:sz w:val="17"/>
                <w:szCs w:val="17"/>
              </w:rPr>
              <w:t xml:space="preserve">●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CONEXIÓN SHOPIFY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URL de la tienda</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El subdominio de Shopify. Ej: kaptools.myshopify.com</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Text input con validación de formato</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Botón — Instalar app KINEXIS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Genera el link de instalación de la app privada de KINEXIS en la tienda Shopify. El cliente acepta los permisos y el token queda guardado en Vault automáticamente</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OAuth install button → Shopify callback</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Access Token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Guardado automáticamente en Vault tras la instalación</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Auto — Vault</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Tienda conectada</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Nombre y plan de la tienda Shopify</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Auto: GET /admin/api/shop.json</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CONFIGURACIÓN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Moneda de la tienda</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KINEXIS usa esto para conversión de precios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Auto-detectada desde Shopify</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Sincronización de inventario</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¿KINEXIS actualiza el stock de Shopify en tiempo real?</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Toggle. Default: ON</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Inventario fuente de verdad</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KINEXIS siempre usa Supabase como la fuente de verdad — Shopify es un destino de sincronización</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Label informativo (no editable)</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Auto-fulfillment</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¿El Shopify Orders Agent marca órdenes como enviadas automáticamente cuando Carlos confirma el picking?</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Toggle. Default: ON</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iCs/>
                <w:color w:val="718096"/>
                <w:sz w:val="16"/>
                <w:szCs w:val="16"/>
              </w:rPr>
              <w:t xml:space="preserve">⚡ El sistema valida y prueba la conexión antes de guardar</w:t>
            </w:r>
          </w:p>
        </w:tc>
        <w:tc>
          <w:tcPr>
            <w:tcW w:type="dxa" w:w="2160"/>
            <w:tcBorders>
              <w:top w:val="single" w:color="CBD5E0" w:sz="1"/>
              <w:left w:val="single" w:color="CBD5E0" w:sz="1"/>
              <w:bottom w:val="single" w:color="CBD5E0" w:sz="1"/>
              <w:right w:val="single" w:color="CBD5E0" w:sz="1"/>
            </w:tcBorders>
            <w:shd w:fill="7BC144"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FFFFFF"/>
                <w:sz w:val="17"/>
                <w:szCs w:val="17"/>
              </w:rPr>
              <w:t xml:space="preserve">[ Guardar y Probar ]</w:t>
            </w:r>
          </w:p>
        </w:tc>
      </w:tr>
    </w:tbl>
    <w:p>
      <w:pPr>
        <w:spacing w:after="0"/>
      </w:pPr>
      <w:r>
        <w:t xml:space="preserve"/>
      </w:r>
    </w:p>
    <w:p>
      <w:r>
        <w:br w:type="page"/>
      </w:r>
    </w:p>
    <w:p>
      <w:pPr>
        <w:pStyle w:val="Heading1"/>
        <w:spacing w:after="220" w:before="440"/>
      </w:pPr>
      <w:r>
        <w:rPr>
          <w:rFonts w:ascii="Arial" w:cs="Arial" w:eastAsia="Arial" w:hAnsi="Arial"/>
          <w:b/>
          <w:bCs/>
          <w:i w:val="false"/>
          <w:iCs w:val="false"/>
          <w:color w:val="0A1628"/>
          <w:sz w:val="38"/>
          <w:szCs w:val="38"/>
        </w:rPr>
        <w:t xml:space="preserve">7. PANTALLA: META BUSINESS PLATFORM</w:t>
      </w:r>
    </w:p>
    <w:p>
      <w:pPr>
        <w:spacing w:after="120" w:before="0"/>
        <w:jc w:val="left"/>
      </w:pPr>
      <w:r>
        <w:rPr>
          <w:rFonts w:ascii="Arial" w:cs="Arial" w:eastAsia="Arial" w:hAnsi="Arial"/>
          <w:b w:val="false"/>
          <w:bCs w:val="false"/>
          <w:i w:val="false"/>
          <w:iCs w:val="false"/>
          <w:color w:val="1A202C"/>
          <w:sz w:val="20"/>
          <w:szCs w:val="20"/>
        </w:rPr>
        <w:t xml:space="preserve">Un solo adaptador para WhatsApp Business, Instagram Graph API y Facebook Pages. Un solo flujo de autorización gestiona los tres canales.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A3050" w:val="clear"/>
            <w:tcMar>
              <w:top w:type="dxa" w:w="100"/>
              <w:left w:type="dxa" w:w="200"/>
              <w:bottom w:type="dxa" w:w="100"/>
              <w:right w:type="dxa" w:w="200"/>
            </w:tcMar>
          </w:tcPr>
          <w:p>
            <w:pPr>
              <w:spacing w:after="40" w:before="0"/>
              <w:jc w:val="left"/>
            </w:pPr>
            <w:r>
              <w:rPr>
                <w:rFonts w:ascii="Arial" w:cs="Arial" w:eastAsia="Arial" w:hAnsi="Arial"/>
                <w:b w:val="false"/>
                <w:bCs w:val="false"/>
                <w:i w:val="false"/>
                <w:iCs w:val="false"/>
                <w:color w:val="E06C75"/>
                <w:sz w:val="16"/>
                <w:szCs w:val="16"/>
              </w:rPr>
              <w:t xml:space="preserve">●  </w:t>
            </w:r>
            <w:r>
              <w:rPr>
                <w:rFonts w:ascii="Arial" w:cs="Arial" w:eastAsia="Arial" w:hAnsi="Arial"/>
                <w:b w:val="false"/>
                <w:bCs w:val="false"/>
                <w:i w:val="false"/>
                <w:iCs w:val="false"/>
                <w:color w:val="E5C07B"/>
                <w:sz w:val="16"/>
                <w:szCs w:val="16"/>
              </w:rPr>
              <w:t xml:space="preserve">●  </w:t>
            </w:r>
            <w:r>
              <w:rPr>
                <w:rFonts w:ascii="Arial" w:cs="Arial" w:eastAsia="Arial" w:hAnsi="Arial"/>
                <w:b w:val="false"/>
                <w:bCs w:val="false"/>
                <w:i w:val="false"/>
                <w:iCs w:val="false"/>
                <w:color w:val="7BC144"/>
                <w:sz w:val="16"/>
                <w:szCs w:val="16"/>
              </w:rPr>
              <w:t xml:space="preserve">●  </w:t>
            </w:r>
            <w:r>
              <w:rPr>
                <w:rFonts w:ascii="Arial" w:cs="Arial" w:eastAsia="Arial" w:hAnsi="Arial"/>
                <w:b/>
                <w:bCs/>
                <w:i w:val="false"/>
                <w:iCs w:val="false"/>
                <w:color w:val="FFFFFF"/>
                <w:sz w:val="17"/>
                <w:szCs w:val="17"/>
              </w:rPr>
              <w:t xml:space="preserve">   Configuración — Meta Business Platform</w:t>
            </w:r>
          </w:p>
          <w:p>
            <w:pPr>
              <w:spacing w:after="0" w:before="0"/>
              <w:jc w:val="left"/>
            </w:pPr>
            <w:r>
              <w:rPr>
                <w:rFonts w:ascii="Courier New" w:cs="Courier New" w:eastAsia="Courier New" w:hAnsi="Courier New"/>
                <w:b w:val="false"/>
                <w:bCs w:val="false"/>
                <w:i w:val="false"/>
                <w:iCs w:val="false"/>
                <w:color w:val="718096"/>
                <w:sz w:val="15"/>
                <w:szCs w:val="15"/>
              </w:rPr>
              <w:t xml:space="preserve">↗  kinexis.app/dashboard/config/integrations/meta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718096"/>
                <w:sz w:val="17"/>
                <w:szCs w:val="17"/>
              </w:rPr>
              <w:t xml:space="preserve">Acceso requerido: </w:t>
            </w:r>
            <w:r>
              <w:rPr>
                <w:rFonts w:ascii="Arial" w:cs="Arial" w:eastAsia="Arial" w:hAnsi="Arial"/>
                <w:b/>
                <w:bCs/>
                <w:i w:val="false"/>
                <w:iCs w:val="false"/>
                <w:color w:val="2C7A7B"/>
                <w:sz w:val="17"/>
                <w:szCs w:val="17"/>
              </w:rPr>
              <w:t xml:space="preserve">owner | admin</w:t>
            </w:r>
          </w:p>
        </w:tc>
        <w:tc>
          <w:tcPr>
            <w:tcW w:type="dxa" w:w="2160"/>
            <w:tcBorders>
              <w:top w:val="single" w:color="CBD5E0" w:sz="1"/>
              <w:left w:val="single" w:color="CBD5E0" w:sz="1"/>
              <w:bottom w:val="single" w:color="CBD5E0" w:sz="1"/>
              <w:right w:val="single" w:color="CBD5E0" w:sz="1"/>
            </w:tcBorders>
            <w:shd w:fill="0A1628"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7BC144"/>
                <w:sz w:val="17"/>
                <w:szCs w:val="17"/>
              </w:rPr>
              <w:t xml:space="preserve">●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STATUS POR CANAL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WhatsApp Business API</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Verde = activo | Naranja = número pendiente de verificación | Rojo = sin conectar</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Badge automático</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Instagram Graph API</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Verde = conectado con permisos de DM + Comentarios + Media</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Badge automático</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Facebook Pages API</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Verde = página de Facebook conectada</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Badge automático</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AUTORIZACIÓN META (UN SOLO FLUJO)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Botón — Login con Facebook Business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Abre el flujo de Meta Business Login. El cliente selecciona su Business Account, su número de WhatsApp, su cuenta de Instagram y su página de Facebook. KINEXIS recibe todos los tokens y permisos en un solo callback</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Facebook Business Login → callback automático</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User Access Token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Token del usuario de Meta — base para obtener los demás tokens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Auto — Vault</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WhatsApp Business Account ID</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ID de la cuenta de WhatsApp Business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Auto-obtenido post-login</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WhatsApp Phone Number ID</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ID del número de teléfono de WhatsApp Business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Auto-obtenido post-login</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Instagram Account ID</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ID de la cuenta de Instagram Business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Auto-obtenido post-login</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Facebook Page ID</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ID de la página de Facebook</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Auto-obtenido post-login</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WEBHOOK META (CONFIGURACIÓN ÚNICA DE ATOLLOM LABS)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Webhook URL</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URL donde Meta envía todos los eventos. Es la misma para todos los tenants: https://api.kinexis.app/webhooks/meta</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Label informativo (solo lectura)</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Verify Token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Token de verificación del webhook. Configurado a nivel de app por Atollom Labs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Auto-configurado</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CONFIGURACIÓN POR CANAL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WhatsApp — Horario de atención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El WhatsApp Handler Agent responde en estos horarios. Fuera de horario envía mensaje de ausencia automático</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Time range selector. Default: L-V 8:00am - 7:00pm</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Instagram — Auto-respuesta a DMs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¿El Instagram DM Handler responde automáticamente?</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Toggle. Default: ON</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Instagram — Auto-respuesta a comentarios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¿El Instagram Comments Agent responde comentarios?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Toggle. Default: ON</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Instagram — Publicación automática</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¿El Content Publisher puede publicar sin aprobación? RECOMENDADO: OFF al inicio</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Toggle. Default: OFF (siempre NOTIFY a socias)</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iCs/>
                <w:color w:val="718096"/>
                <w:sz w:val="16"/>
                <w:szCs w:val="16"/>
              </w:rPr>
              <w:t xml:space="preserve">⚡ El sistema valida y prueba la conexión antes de guardar</w:t>
            </w:r>
          </w:p>
        </w:tc>
        <w:tc>
          <w:tcPr>
            <w:tcW w:type="dxa" w:w="2160"/>
            <w:tcBorders>
              <w:top w:val="single" w:color="CBD5E0" w:sz="1"/>
              <w:left w:val="single" w:color="CBD5E0" w:sz="1"/>
              <w:bottom w:val="single" w:color="CBD5E0" w:sz="1"/>
              <w:right w:val="single" w:color="CBD5E0" w:sz="1"/>
            </w:tcBorders>
            <w:shd w:fill="7BC144"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FFFFFF"/>
                <w:sz w:val="17"/>
                <w:szCs w:val="17"/>
              </w:rPr>
              <w:t xml:space="preserve">[ Guardar y Probar ]</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rPr>
          <w:tblHeader w:val="false"/>
        </w:trPr>
        <w:tc>
          <w:tcPr>
            <w:tcW w:type="dxa" w:w="160"/>
            <w:tcBorders>
              <w:top w:val="none" w:color="FFFFFF" w:sz="0"/>
              <w:left w:val="none" w:color="FFFFFF" w:sz="0"/>
              <w:bottom w:val="none" w:color="FFFFFF" w:sz="0"/>
              <w:right w:val="none" w:color="FFFFFF" w:sz="0"/>
            </w:tcBorders>
            <w:shd w:fill="C05621" w:val="clear"/>
            <w:tcMar>
              <w:top w:type="dxa" w:w="0"/>
              <w:left w:type="dxa" w:w="0"/>
              <w:bottom w:type="dxa" w:w="0"/>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c>
          <w:tcPr>
            <w:tcW w:type="dxa" w:w="9200"/>
            <w:tcBorders>
              <w:top w:val="single" w:color="CBD5E0" w:sz="1"/>
              <w:left w:val="none" w:color="FFFFFF" w:sz="0"/>
              <w:bottom w:val="single" w:color="CBD5E0" w:sz="1"/>
              <w:right w:val="single" w:color="CBD5E0" w:sz="1"/>
            </w:tcBorders>
            <w:shd w:fill="FFFAF0" w:val="clear"/>
            <w:tcMar>
              <w:top w:type="dxa" w:w="120"/>
              <w:left w:type="dxa" w:w="200"/>
              <w:bottom w:type="dxa" w:w="120"/>
              <w:right w:type="dxa" w:w="160"/>
            </w:tcMar>
          </w:tcPr>
          <w:p>
            <w:pPr>
              <w:spacing w:after="80" w:before="0"/>
              <w:jc w:val="left"/>
            </w:pPr>
            <w:r>
              <w:rPr>
                <w:rFonts w:ascii="Arial" w:cs="Arial" w:eastAsia="Arial" w:hAnsi="Arial"/>
                <w:b/>
                <w:bCs/>
                <w:i w:val="false"/>
                <w:iCs w:val="false"/>
                <w:color w:val="C05621"/>
                <w:sz w:val="19"/>
                <w:szCs w:val="19"/>
              </w:rPr>
              <w:t xml:space="preserve">Nota sobre WhatsApp Business API</w:t>
            </w:r>
          </w:p>
          <w:p>
            <w:pPr>
              <w:spacing w:after="50" w:before="0"/>
              <w:jc w:val="left"/>
            </w:pPr>
            <w:r>
              <w:rPr>
                <w:rFonts w:ascii="Arial" w:cs="Arial" w:eastAsia="Arial" w:hAnsi="Arial"/>
                <w:b w:val="false"/>
                <w:bCs w:val="false"/>
                <w:i w:val="false"/>
                <w:iCs w:val="false"/>
                <w:color w:val="1A202C"/>
                <w:sz w:val="18"/>
                <w:szCs w:val="18"/>
              </w:rPr>
              <w:t xml:space="preserve">Si el cliente no tiene el número aprobado por Meta para WhatsApp Business API (el proceso oficial de Meta),</w:t>
            </w:r>
          </w:p>
          <w:p>
            <w:pPr>
              <w:spacing w:after="50" w:before="0"/>
              <w:jc w:val="left"/>
            </w:pPr>
            <w:r>
              <w:rPr>
                <w:rFonts w:ascii="Arial" w:cs="Arial" w:eastAsia="Arial" w:hAnsi="Arial"/>
                <w:b w:val="false"/>
                <w:bCs w:val="false"/>
                <w:i w:val="false"/>
                <w:iCs w:val="false"/>
                <w:color w:val="1A202C"/>
                <w:sz w:val="18"/>
                <w:szCs w:val="18"/>
              </w:rPr>
              <w:t xml:space="preserve">este paso mostrará el estado 'Pendiente de aprobación Meta' y el WhatsApp Handler estará desactivado</w:t>
            </w:r>
          </w:p>
          <w:p>
            <w:pPr>
              <w:spacing w:after="50" w:before="0"/>
              <w:jc w:val="left"/>
            </w:pPr>
            <w:r>
              <w:rPr>
                <w:rFonts w:ascii="Arial" w:cs="Arial" w:eastAsia="Arial" w:hAnsi="Arial"/>
                <w:b w:val="false"/>
                <w:bCs w:val="false"/>
                <w:i w:val="false"/>
                <w:iCs w:val="false"/>
                <w:color w:val="1A202C"/>
                <w:sz w:val="18"/>
                <w:szCs w:val="18"/>
              </w:rPr>
              <w:t xml:space="preserve">hasta que Meta apruebe el número. El proceso de aprobación toma 24-48 horas y ocurre en el dashboard de Meta.</w:t>
            </w:r>
          </w:p>
          <w:p>
            <w:pPr>
              <w:spacing w:after="50" w:before="0"/>
              <w:jc w:val="left"/>
            </w:pPr>
            <w:r>
              <w:rPr>
                <w:rFonts w:ascii="Arial" w:cs="Arial" w:eastAsia="Arial" w:hAnsi="Arial"/>
                <w:b w:val="false"/>
                <w:bCs w:val="false"/>
                <w:i w:val="false"/>
                <w:iCs w:val="false"/>
                <w:color w:val="1A202C"/>
                <w:sz w:val="18"/>
                <w:szCs w:val="18"/>
              </w:rPr>
              <w:t xml:space="preserve">Kap Tools necesita verificar si ya cuenta con WhatsApp Business API aprobado o si usa solo la app regular.</w:t>
            </w:r>
          </w:p>
        </w:tc>
      </w:tr>
    </w:tbl>
    <w:p>
      <w:r>
        <w:br w:type="page"/>
      </w:r>
    </w:p>
    <w:p>
      <w:pPr>
        <w:pStyle w:val="Heading1"/>
        <w:spacing w:after="220" w:before="440"/>
      </w:pPr>
      <w:r>
        <w:rPr>
          <w:rFonts w:ascii="Arial" w:cs="Arial" w:eastAsia="Arial" w:hAnsi="Arial"/>
          <w:b/>
          <w:bCs/>
          <w:i w:val="false"/>
          <w:iCs w:val="false"/>
          <w:color w:val="0A1628"/>
          <w:sz w:val="38"/>
          <w:szCs w:val="38"/>
        </w:rPr>
        <w:t xml:space="preserve">8. PANTALLA: FACTURAPI — FACTURACIÓN ELECTRÓNICA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A3050" w:val="clear"/>
            <w:tcMar>
              <w:top w:type="dxa" w:w="100"/>
              <w:left w:type="dxa" w:w="200"/>
              <w:bottom w:type="dxa" w:w="100"/>
              <w:right w:type="dxa" w:w="200"/>
            </w:tcMar>
          </w:tcPr>
          <w:p>
            <w:pPr>
              <w:spacing w:after="40" w:before="0"/>
              <w:jc w:val="left"/>
            </w:pPr>
            <w:r>
              <w:rPr>
                <w:rFonts w:ascii="Arial" w:cs="Arial" w:eastAsia="Arial" w:hAnsi="Arial"/>
                <w:b w:val="false"/>
                <w:bCs w:val="false"/>
                <w:i w:val="false"/>
                <w:iCs w:val="false"/>
                <w:color w:val="E06C75"/>
                <w:sz w:val="16"/>
                <w:szCs w:val="16"/>
              </w:rPr>
              <w:t xml:space="preserve">●  </w:t>
            </w:r>
            <w:r>
              <w:rPr>
                <w:rFonts w:ascii="Arial" w:cs="Arial" w:eastAsia="Arial" w:hAnsi="Arial"/>
                <w:b w:val="false"/>
                <w:bCs w:val="false"/>
                <w:i w:val="false"/>
                <w:iCs w:val="false"/>
                <w:color w:val="E5C07B"/>
                <w:sz w:val="16"/>
                <w:szCs w:val="16"/>
              </w:rPr>
              <w:t xml:space="preserve">●  </w:t>
            </w:r>
            <w:r>
              <w:rPr>
                <w:rFonts w:ascii="Arial" w:cs="Arial" w:eastAsia="Arial" w:hAnsi="Arial"/>
                <w:b w:val="false"/>
                <w:bCs w:val="false"/>
                <w:i w:val="false"/>
                <w:iCs w:val="false"/>
                <w:color w:val="7BC144"/>
                <w:sz w:val="16"/>
                <w:szCs w:val="16"/>
              </w:rPr>
              <w:t xml:space="preserve">●  </w:t>
            </w:r>
            <w:r>
              <w:rPr>
                <w:rFonts w:ascii="Arial" w:cs="Arial" w:eastAsia="Arial" w:hAnsi="Arial"/>
                <w:b/>
                <w:bCs/>
                <w:i w:val="false"/>
                <w:iCs w:val="false"/>
                <w:color w:val="FFFFFF"/>
                <w:sz w:val="17"/>
                <w:szCs w:val="17"/>
              </w:rPr>
              <w:t xml:space="preserve">   Configuración — CFDI y Facturación</w:t>
            </w:r>
          </w:p>
          <w:p>
            <w:pPr>
              <w:spacing w:after="0" w:before="0"/>
              <w:jc w:val="left"/>
            </w:pPr>
            <w:r>
              <w:rPr>
                <w:rFonts w:ascii="Courier New" w:cs="Courier New" w:eastAsia="Courier New" w:hAnsi="Courier New"/>
                <w:b w:val="false"/>
                <w:bCs w:val="false"/>
                <w:i w:val="false"/>
                <w:iCs w:val="false"/>
                <w:color w:val="718096"/>
                <w:sz w:val="15"/>
                <w:szCs w:val="15"/>
              </w:rPr>
              <w:t xml:space="preserve">↗  kinexis.app/dashboard/config/facturacion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718096"/>
                <w:sz w:val="17"/>
                <w:szCs w:val="17"/>
              </w:rPr>
              <w:t xml:space="preserve">Acceso requerido: </w:t>
            </w:r>
            <w:r>
              <w:rPr>
                <w:rFonts w:ascii="Arial" w:cs="Arial" w:eastAsia="Arial" w:hAnsi="Arial"/>
                <w:b/>
                <w:bCs/>
                <w:i w:val="false"/>
                <w:iCs w:val="false"/>
                <w:color w:val="2C7A7B"/>
                <w:sz w:val="17"/>
                <w:szCs w:val="17"/>
              </w:rPr>
              <w:t xml:space="preserve">owner | admin</w:t>
            </w:r>
          </w:p>
        </w:tc>
        <w:tc>
          <w:tcPr>
            <w:tcW w:type="dxa" w:w="2160"/>
            <w:tcBorders>
              <w:top w:val="single" w:color="CBD5E0" w:sz="1"/>
              <w:left w:val="single" w:color="CBD5E0" w:sz="1"/>
              <w:bottom w:val="single" w:color="CBD5E0" w:sz="1"/>
              <w:right w:val="single" w:color="CBD5E0" w:sz="1"/>
            </w:tcBorders>
            <w:shd w:fill="0A1628"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7BC144"/>
                <w:sz w:val="17"/>
                <w:szCs w:val="17"/>
              </w:rPr>
              <w:t xml:space="preserve">●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CONEXIÓN FACTURAPI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Status Facturapi</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Verde = API key válida y organización verificada | Rojo = error de autenticación</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Badge — test automático cada 6 horas</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API Key (Producción)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Obtenida en dashboard.facturapi.io → tu organización → API Keys → Producción. KINEXIS encripta con pgsodium en el momento de guardar</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Password field — muestra solo últimos 4 chars</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API Key (Sandbox)</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Para pruebas sin timbrar ante el SAT. Los CFDIs en sandbox tienen UUID de prueba y no tienen validez fiscal</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Password field</w:t>
            </w:r>
          </w:p>
        </w:tc>
        <w:tc>
          <w:tcPr>
            <w:tcW w:type="dxa" w:w="1200"/>
            <w:tcBorders>
              <w:top w:val="single" w:color="CBD5E0" w:sz="1"/>
              <w:left w:val="single" w:color="CBD5E0" w:sz="1"/>
              <w:bottom w:val="single" w:color="CBD5E0" w:sz="1"/>
              <w:right w:val="single" w:color="CBD5E0" w:sz="1"/>
            </w:tcBorders>
            <w:shd w:fill="E6FFFA"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2C7A7B"/>
                <w:sz w:val="16"/>
                <w:szCs w:val="16"/>
              </w:rPr>
              <w:t xml:space="preserve">OPCIONAL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Facturapi Org ID</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ID de la organización en Facturapi. Obtenido automáticamente al validar la API key</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Auto: GET /v2/organizations[0].id</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REGLAS DE FACTURACIÓN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Auto-factura ventas B2B</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¿Generar CFDI automáticamente cuando Sales Agent B2B confirma un pago?</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Toggle. Default: ON</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Auto-factura ML/Amazon/Shopify</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¿Generar CFDI para órdenes de plataformas? El cliente debe haber proporcionado su RFC al comprar</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Toggle. Default: OFF (el cliente solicita factura)</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Monto mínimo para pedir RFC real</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Por debajo de este monto, KINEXIS usa XAXX010101000 (Público General) si el cliente no proporciona RFC</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en MXN. Default: 2000</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Monto máximo sin revisión humana</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CFDIs por arriba de este monto generan alerta a las socias antes de timbrar</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en MXN. Default: 10000</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Uso CFDI default B2C</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Para ventas al público en general sin RFC específico</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Select catálogo SAT. Default: G03 (Gastos en general)</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Uso CFDI default B2B</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Uso CFDI para clientes empresariales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Select catálogo SAT. Default: G03</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CANCELACIONES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Monto máx. auto-cancelación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CFDIs hasta este monto pueden ser cancelados por admins sin aprobación adicional</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en MXN. Default: 0 (siempre requiere aprobación)</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Cancelación &gt;$10,000 MXN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Siempre requiere aprobación explícita de al menos una socia</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Label informativo — hardcoded en Validation Agent #26</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ALMACENAMIENTO DE DOCUMENTOS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Bucket de Supabase Storage</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Nombre del bucket donde se guardan los XML y PDF de los CFDIs. DEBE ser privado</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Text. Default: cfdi-documents</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Status del bucket</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Verde = bucket existe y es PRIVADO | Naranja = bucket no existe (crear) | Rojo = bucket es PÚBLICO (cambiar inmediatamente)</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Badge — verificación automática</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iCs/>
                <w:color w:val="718096"/>
                <w:sz w:val="16"/>
                <w:szCs w:val="16"/>
              </w:rPr>
              <w:t xml:space="preserve">⚡ El sistema valida y prueba la conexión antes de guardar</w:t>
            </w:r>
          </w:p>
        </w:tc>
        <w:tc>
          <w:tcPr>
            <w:tcW w:type="dxa" w:w="2160"/>
            <w:tcBorders>
              <w:top w:val="single" w:color="CBD5E0" w:sz="1"/>
              <w:left w:val="single" w:color="CBD5E0" w:sz="1"/>
              <w:bottom w:val="single" w:color="CBD5E0" w:sz="1"/>
              <w:right w:val="single" w:color="CBD5E0" w:sz="1"/>
            </w:tcBorders>
            <w:shd w:fill="7BC144"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FFFFFF"/>
                <w:sz w:val="17"/>
                <w:szCs w:val="17"/>
              </w:rPr>
              <w:t xml:space="preserve">[ Guardar y Probar ]</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rPr>
          <w:tblHeader w:val="false"/>
        </w:trPr>
        <w:tc>
          <w:tcPr>
            <w:tcW w:type="dxa" w:w="160"/>
            <w:tcBorders>
              <w:top w:val="none" w:color="FFFFFF" w:sz="0"/>
              <w:left w:val="none" w:color="FFFFFF" w:sz="0"/>
              <w:bottom w:val="none" w:color="FFFFFF" w:sz="0"/>
              <w:right w:val="none" w:color="FFFFFF" w:sz="0"/>
            </w:tcBorders>
            <w:shd w:fill="2C7A7B" w:val="clear"/>
            <w:tcMar>
              <w:top w:type="dxa" w:w="0"/>
              <w:left w:type="dxa" w:w="0"/>
              <w:bottom w:type="dxa" w:w="0"/>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c>
          <w:tcPr>
            <w:tcW w:type="dxa" w:w="9200"/>
            <w:tcBorders>
              <w:top w:val="single" w:color="CBD5E0" w:sz="1"/>
              <w:left w:val="none" w:color="FFFFFF" w:sz="0"/>
              <w:bottom w:val="single" w:color="CBD5E0" w:sz="1"/>
              <w:right w:val="single" w:color="CBD5E0" w:sz="1"/>
            </w:tcBorders>
            <w:shd w:fill="E6FFFA" w:val="clear"/>
            <w:tcMar>
              <w:top w:type="dxa" w:w="120"/>
              <w:left w:type="dxa" w:w="200"/>
              <w:bottom w:type="dxa" w:w="120"/>
              <w:right w:type="dxa" w:w="160"/>
            </w:tcMar>
          </w:tcPr>
          <w:p>
            <w:pPr>
              <w:spacing w:after="80" w:before="0"/>
              <w:jc w:val="left"/>
            </w:pPr>
            <w:r>
              <w:rPr>
                <w:rFonts w:ascii="Arial" w:cs="Arial" w:eastAsia="Arial" w:hAnsi="Arial"/>
                <w:b/>
                <w:bCs/>
                <w:i w:val="false"/>
                <w:iCs w:val="false"/>
                <w:color w:val="2C7A7B"/>
                <w:sz w:val="19"/>
                <w:szCs w:val="19"/>
              </w:rPr>
              <w:t xml:space="preserve">Proceso de validación de la API Key de Facturapi</w:t>
            </w:r>
          </w:p>
          <w:p>
            <w:pPr>
              <w:spacing w:after="50" w:before="0"/>
              <w:jc w:val="left"/>
            </w:pPr>
            <w:r>
              <w:rPr>
                <w:rFonts w:ascii="Arial" w:cs="Arial" w:eastAsia="Arial" w:hAnsi="Arial"/>
                <w:b w:val="false"/>
                <w:bCs w:val="false"/>
                <w:i w:val="false"/>
                <w:iCs w:val="false"/>
                <w:color w:val="1A202C"/>
                <w:sz w:val="18"/>
                <w:szCs w:val="18"/>
              </w:rPr>
              <w:t xml:space="preserve">1. Admin pega la API Key en el campo del dashboard y presiona 'Guardar y Probar'</w:t>
            </w:r>
          </w:p>
          <w:p>
            <w:pPr>
              <w:spacing w:after="50" w:before="0"/>
              <w:jc w:val="left"/>
            </w:pPr>
            <w:r>
              <w:rPr>
                <w:rFonts w:ascii="Arial" w:cs="Arial" w:eastAsia="Arial" w:hAnsi="Arial"/>
                <w:b w:val="false"/>
                <w:bCs w:val="false"/>
                <w:i w:val="false"/>
                <w:iCs w:val="false"/>
                <w:color w:val="1A202C"/>
                <w:sz w:val="18"/>
                <w:szCs w:val="18"/>
              </w:rPr>
              <w:t xml:space="preserve">2. KINEXIS hace POST /v2/invoices (factura de prueba) en modo sandbox para verificar permisos completos</w:t>
            </w:r>
          </w:p>
          <w:p>
            <w:pPr>
              <w:spacing w:after="50" w:before="0"/>
              <w:jc w:val="left"/>
            </w:pPr>
            <w:r>
              <w:rPr>
                <w:rFonts w:ascii="Arial" w:cs="Arial" w:eastAsia="Arial" w:hAnsi="Arial"/>
                <w:b w:val="false"/>
                <w:bCs w:val="false"/>
                <w:i w:val="false"/>
                <w:iCs w:val="false"/>
                <w:color w:val="1A202C"/>
                <w:sz w:val="18"/>
                <w:szCs w:val="18"/>
              </w:rPr>
              <w:t xml:space="preserve">3. Si la prueba pasa: encripta con pgsodium y guarda en Vault. Marca is_valid=true en platform_credentials</w:t>
            </w:r>
          </w:p>
          <w:p>
            <w:pPr>
              <w:spacing w:after="50" w:before="0"/>
              <w:jc w:val="left"/>
            </w:pPr>
            <w:r>
              <w:rPr>
                <w:rFonts w:ascii="Arial" w:cs="Arial" w:eastAsia="Arial" w:hAnsi="Arial"/>
                <w:b w:val="false"/>
                <w:bCs w:val="false"/>
                <w:i w:val="false"/>
                <w:iCs w:val="false"/>
                <w:color w:val="1A202C"/>
                <w:sz w:val="18"/>
                <w:szCs w:val="18"/>
              </w:rPr>
              <w:t xml:space="preserve">4. Si la prueba falla: NO guarda nada. Muestra el error de Facturapi para que el admin lo resuelva</w:t>
            </w:r>
          </w:p>
          <w:p>
            <w:pPr>
              <w:spacing w:after="50" w:before="0"/>
              <w:jc w:val="left"/>
            </w:pPr>
            <w:r>
              <w:rPr>
                <w:rFonts w:ascii="Arial" w:cs="Arial" w:eastAsia="Arial" w:hAnsi="Arial"/>
                <w:b w:val="false"/>
                <w:bCs w:val="false"/>
                <w:i w:val="false"/>
                <w:iCs w:val="false"/>
                <w:color w:val="1A202C"/>
                <w:sz w:val="18"/>
                <w:szCs w:val="18"/>
              </w:rPr>
              <w:t xml:space="preserve">5. La API Key NUNCA toca el código fuente — solo viaja encriptada entre el navegador y Vault</w:t>
            </w:r>
          </w:p>
        </w:tc>
      </w:tr>
    </w:tbl>
    <w:p>
      <w:r>
        <w:br w:type="page"/>
      </w:r>
    </w:p>
    <w:p>
      <w:pPr>
        <w:pStyle w:val="Heading1"/>
        <w:spacing w:after="220" w:before="440"/>
      </w:pPr>
      <w:r>
        <w:rPr>
          <w:rFonts w:ascii="Arial" w:cs="Arial" w:eastAsia="Arial" w:hAnsi="Arial"/>
          <w:b/>
          <w:bCs/>
          <w:i w:val="false"/>
          <w:iCs w:val="false"/>
          <w:color w:val="0A1628"/>
          <w:sz w:val="38"/>
          <w:szCs w:val="38"/>
        </w:rPr>
        <w:t xml:space="preserve">9. PANTALLA: CATÁLOGO Y MIGRACIÓN DESDE ASPEL SAE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A3050" w:val="clear"/>
            <w:tcMar>
              <w:top w:type="dxa" w:w="100"/>
              <w:left w:type="dxa" w:w="200"/>
              <w:bottom w:type="dxa" w:w="100"/>
              <w:right w:type="dxa" w:w="200"/>
            </w:tcMar>
          </w:tcPr>
          <w:p>
            <w:pPr>
              <w:spacing w:after="40" w:before="0"/>
              <w:jc w:val="left"/>
            </w:pPr>
            <w:r>
              <w:rPr>
                <w:rFonts w:ascii="Arial" w:cs="Arial" w:eastAsia="Arial" w:hAnsi="Arial"/>
                <w:b w:val="false"/>
                <w:bCs w:val="false"/>
                <w:i w:val="false"/>
                <w:iCs w:val="false"/>
                <w:color w:val="E06C75"/>
                <w:sz w:val="16"/>
                <w:szCs w:val="16"/>
              </w:rPr>
              <w:t xml:space="preserve">●  </w:t>
            </w:r>
            <w:r>
              <w:rPr>
                <w:rFonts w:ascii="Arial" w:cs="Arial" w:eastAsia="Arial" w:hAnsi="Arial"/>
                <w:b w:val="false"/>
                <w:bCs w:val="false"/>
                <w:i w:val="false"/>
                <w:iCs w:val="false"/>
                <w:color w:val="E5C07B"/>
                <w:sz w:val="16"/>
                <w:szCs w:val="16"/>
              </w:rPr>
              <w:t xml:space="preserve">●  </w:t>
            </w:r>
            <w:r>
              <w:rPr>
                <w:rFonts w:ascii="Arial" w:cs="Arial" w:eastAsia="Arial" w:hAnsi="Arial"/>
                <w:b w:val="false"/>
                <w:bCs w:val="false"/>
                <w:i w:val="false"/>
                <w:iCs w:val="false"/>
                <w:color w:val="7BC144"/>
                <w:sz w:val="16"/>
                <w:szCs w:val="16"/>
              </w:rPr>
              <w:t xml:space="preserve">●  </w:t>
            </w:r>
            <w:r>
              <w:rPr>
                <w:rFonts w:ascii="Arial" w:cs="Arial" w:eastAsia="Arial" w:hAnsi="Arial"/>
                <w:b/>
                <w:bCs/>
                <w:i w:val="false"/>
                <w:iCs w:val="false"/>
                <w:color w:val="FFFFFF"/>
                <w:sz w:val="17"/>
                <w:szCs w:val="17"/>
              </w:rPr>
              <w:t xml:space="preserve">   Configuración — Catálogo de Productos</w:t>
            </w:r>
          </w:p>
          <w:p>
            <w:pPr>
              <w:spacing w:after="0" w:before="0"/>
              <w:jc w:val="left"/>
            </w:pPr>
            <w:r>
              <w:rPr>
                <w:rFonts w:ascii="Courier New" w:cs="Courier New" w:eastAsia="Courier New" w:hAnsi="Courier New"/>
                <w:b w:val="false"/>
                <w:bCs w:val="false"/>
                <w:i w:val="false"/>
                <w:iCs w:val="false"/>
                <w:color w:val="718096"/>
                <w:sz w:val="15"/>
                <w:szCs w:val="15"/>
              </w:rPr>
              <w:t xml:space="preserve">↗  kinexis.app/dashboard/config/catalogo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718096"/>
                <w:sz w:val="17"/>
                <w:szCs w:val="17"/>
              </w:rPr>
              <w:t xml:space="preserve">Acceso requerido: </w:t>
            </w:r>
            <w:r>
              <w:rPr>
                <w:rFonts w:ascii="Arial" w:cs="Arial" w:eastAsia="Arial" w:hAnsi="Arial"/>
                <w:b/>
                <w:bCs/>
                <w:i w:val="false"/>
                <w:iCs w:val="false"/>
                <w:color w:val="2C7A7B"/>
                <w:sz w:val="17"/>
                <w:szCs w:val="17"/>
              </w:rPr>
              <w:t xml:space="preserve">owner | admin</w:t>
            </w:r>
          </w:p>
        </w:tc>
        <w:tc>
          <w:tcPr>
            <w:tcW w:type="dxa" w:w="2160"/>
            <w:tcBorders>
              <w:top w:val="single" w:color="CBD5E0" w:sz="1"/>
              <w:left w:val="single" w:color="CBD5E0" w:sz="1"/>
              <w:bottom w:val="single" w:color="CBD5E0" w:sz="1"/>
              <w:right w:val="single" w:color="CBD5E0" w:sz="1"/>
            </w:tcBorders>
            <w:shd w:fill="0A1628"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7BC144"/>
                <w:sz w:val="17"/>
                <w:szCs w:val="17"/>
              </w:rPr>
              <w:t xml:space="preserve">●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IMPORTACIÓN MASIVA (ASPEL SAE / EXCEL)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Subir archivo de catálogo</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Excel (.xlsx), CSV o PDF exportado de Aspel SAE. El agente mapea columnas automáticamente aunque cambien de nombre</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Drag &amp; drop file upload — max 50MB</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Vista previa del mapeo</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El sistema muestra cómo mapeó las columnas del archivo a los campos de KINEXIS. El admin revisa y corrige si algo está mal antes de importar</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Tabla editable de mapeo columna→campo</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Resultados de la importación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N productos importados, N errores (con detalle), N ya existentes (actualizados)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Resultado inline post-importación</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CAMPOS DEL CATÁLOGO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SKU</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Clave interna del producto — debe ser única por tenant. El sistema usa esto para sincronizar entre plataformas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Auto-detectado del Excel o ingresado manual</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Nombre comercial</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Nombre del producto tal como aparece en ML, Amazon, Shopify</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Text</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Costo unitario (MXN)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Costo de adquisición sin IVA. Usado por el Validation Agent #26 para validar precios mínimos de venta</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Decimal en MXN</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Precio de venta base (MXN)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Precio sin IVA antes de aplicar márgenes por plataforma</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Decimal en MXN</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Clave Producto SAT</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Del catálogo c_ClaveProdServ del SAT. Para Kap Tools: ver tabla de claves en la Biblia de Agentes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8 dígitos — con buscador del catálogo SAT</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Clave Unidad SAT</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H87=Pieza, MLT=Mililitro, KGM=Kilogramo. La más común en Kap Tools: H87</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Select — catálogo c_ClaveUnidad SAT</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Descripción SAT estándar</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Descripción estandarizada para CFDI — diferente al nombre comercial</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Text</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IVA Rate</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0.16 para ventas nacionales, 0.00 para exportación</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Select: 16% | 0%. Default: 16%</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Categoría interna</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Para organización interna. No aparece en ML/Amazon</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Text libre o select de categorías creadas</w:t>
            </w:r>
          </w:p>
        </w:tc>
        <w:tc>
          <w:tcPr>
            <w:tcW w:type="dxa" w:w="1200"/>
            <w:tcBorders>
              <w:top w:val="single" w:color="CBD5E0" w:sz="1"/>
              <w:left w:val="single" w:color="CBD5E0" w:sz="1"/>
              <w:bottom w:val="single" w:color="CBD5E0" w:sz="1"/>
              <w:right w:val="single" w:color="CBD5E0" w:sz="1"/>
            </w:tcBorders>
            <w:shd w:fill="E6FFFA"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2C7A7B"/>
                <w:sz w:val="16"/>
                <w:szCs w:val="16"/>
              </w:rPr>
              <w:t xml:space="preserve">OPCIONAL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iCs/>
                <w:color w:val="718096"/>
                <w:sz w:val="16"/>
                <w:szCs w:val="16"/>
              </w:rPr>
              <w:t xml:space="preserve">⚡ El sistema valida y prueba la conexión antes de guardar</w:t>
            </w:r>
          </w:p>
        </w:tc>
        <w:tc>
          <w:tcPr>
            <w:tcW w:type="dxa" w:w="2160"/>
            <w:tcBorders>
              <w:top w:val="single" w:color="CBD5E0" w:sz="1"/>
              <w:left w:val="single" w:color="CBD5E0" w:sz="1"/>
              <w:bottom w:val="single" w:color="CBD5E0" w:sz="1"/>
              <w:right w:val="single" w:color="CBD5E0" w:sz="1"/>
            </w:tcBorders>
            <w:shd w:fill="7BC144"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FFFFFF"/>
                <w:sz w:val="17"/>
                <w:szCs w:val="17"/>
              </w:rPr>
              <w:t xml:space="preserve">[ Guardar y Probar ]</w:t>
            </w:r>
          </w:p>
        </w:tc>
      </w:tr>
    </w:tbl>
    <w:p>
      <w:pPr>
        <w:spacing w:after="0"/>
      </w:pPr>
      <w:r>
        <w:t xml:space="preserve"/>
      </w:r>
    </w:p>
    <w:p>
      <w:pPr>
        <w:spacing w:after="0"/>
      </w:pPr>
      <w:r>
        <w:t xml:space="preserve"/>
      </w:r>
    </w:p>
    <w:p>
      <w:pPr>
        <w:spacing w:after="120" w:before="0"/>
        <w:jc w:val="left"/>
      </w:pPr>
      <w:r>
        <w:rPr>
          <w:rFonts w:ascii="Arial" w:cs="Arial" w:eastAsia="Arial" w:hAnsi="Arial"/>
          <w:b/>
          <w:bCs/>
          <w:i w:val="false"/>
          <w:iCs w:val="false"/>
          <w:color w:val="1A202C"/>
          <w:sz w:val="18"/>
          <w:szCs w:val="18"/>
        </w:rPr>
        <w:t xml:space="preserve">Claves SAT de referencia para Kap Tools — ya documentadas en la Biblia de Agentes: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Producto Kap Tools</w:t>
            </w:r>
          </w:p>
        </w:tc>
        <w:tc>
          <w:tcPr>
            <w:tcW w:type="dxa" w:w="28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Clave SAT</w:t>
            </w:r>
          </w:p>
        </w:tc>
        <w:tc>
          <w:tcPr>
            <w:tcW w:type="dxa" w:w="27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Unidad SAT</w:t>
            </w:r>
          </w:p>
        </w:tc>
      </w:tr>
      <w:tr>
        <w:trPr>
          <w:tblHeader w:val="false"/>
        </w:trPr>
        <w:tc>
          <w:tcPr>
            <w:tcW w:type="dxa" w:w="3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Herramientas manuales, kits, sets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27111701</w:t>
            </w:r>
          </w:p>
        </w:tc>
        <w:tc>
          <w:tcPr>
            <w:tcW w:type="dxa" w:w="2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H87 (Pieza)</w:t>
            </w:r>
          </w:p>
        </w:tc>
      </w:tr>
      <w:tr>
        <w:trPr>
          <w:tblHeader w:val="false"/>
        </w:trPr>
        <w:tc>
          <w:tcPr>
            <w:tcW w:type="dxa" w:w="3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Destornilladores de relojería</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27111702</w:t>
            </w:r>
          </w:p>
        </w:tc>
        <w:tc>
          <w:tcPr>
            <w:tcW w:type="dxa" w:w="2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H87 (Pieza)</w:t>
            </w:r>
          </w:p>
        </w:tc>
      </w:tr>
      <w:tr>
        <w:trPr>
          <w:tblHeader w:val="false"/>
        </w:trPr>
        <w:tc>
          <w:tcPr>
            <w:tcW w:type="dxa" w:w="3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Lupas y microscopios</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41112901</w:t>
            </w:r>
          </w:p>
        </w:tc>
        <w:tc>
          <w:tcPr>
            <w:tcW w:type="dxa" w:w="2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H87 (Pieza)</w:t>
            </w:r>
          </w:p>
        </w:tc>
      </w:tr>
      <w:tr>
        <w:trPr>
          <w:tblHeader w:val="false"/>
        </w:trPr>
        <w:tc>
          <w:tcPr>
            <w:tcW w:type="dxa" w:w="3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Calibradores e instrumentos de medición</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41111500</w:t>
            </w:r>
          </w:p>
        </w:tc>
        <w:tc>
          <w:tcPr>
            <w:tcW w:type="dxa" w:w="2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H87 (Pieza)</w:t>
            </w:r>
          </w:p>
        </w:tc>
      </w:tr>
      <w:tr>
        <w:trPr>
          <w:tblHeader w:val="false"/>
        </w:trPr>
        <w:tc>
          <w:tcPr>
            <w:tcW w:type="dxa" w:w="3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Reactivos químicos (general)</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12352100</w:t>
            </w:r>
          </w:p>
        </w:tc>
        <w:tc>
          <w:tcPr>
            <w:tcW w:type="dxa" w:w="2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MLT (Mililitro)</w:t>
            </w:r>
          </w:p>
        </w:tc>
      </w:tr>
      <w:tr>
        <w:trPr>
          <w:tblHeader w:val="false"/>
        </w:trPr>
        <w:tc>
          <w:tcPr>
            <w:tcW w:type="dxa" w:w="3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Ácidos de prueba (oro, plata, platino)</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12352107</w:t>
            </w:r>
          </w:p>
        </w:tc>
        <w:tc>
          <w:tcPr>
            <w:tcW w:type="dxa" w:w="2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MLT (Mililitro)</w:t>
            </w:r>
          </w:p>
        </w:tc>
      </w:tr>
      <w:tr>
        <w:trPr>
          <w:tblHeader w:val="false"/>
        </w:trPr>
        <w:tc>
          <w:tcPr>
            <w:tcW w:type="dxa" w:w="3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Baterías para reloj, consumibles de relojería</w:t>
            </w:r>
          </w:p>
        </w:tc>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44121600</w:t>
            </w:r>
          </w:p>
        </w:tc>
        <w:tc>
          <w:tcPr>
            <w:tcW w:type="dxa" w:w="27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H87 (Pieza)</w:t>
            </w:r>
          </w:p>
        </w:tc>
      </w:tr>
      <w:tr>
        <w:trPr>
          <w:tblHeader w:val="false"/>
        </w:trPr>
        <w:tc>
          <w:tcPr>
            <w:tcW w:type="dxa" w:w="3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Sin equivalente en catálogo SAT</w:t>
            </w:r>
          </w:p>
        </w:tc>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01010101</w:t>
            </w:r>
          </w:p>
        </w:tc>
        <w:tc>
          <w:tcPr>
            <w:tcW w:type="dxa" w:w="27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H87 (Pieza)</w:t>
            </w:r>
          </w:p>
        </w:tc>
      </w:tr>
    </w:tbl>
    <w:p>
      <w:r>
        <w:br w:type="page"/>
      </w:r>
    </w:p>
    <w:p>
      <w:pPr>
        <w:pStyle w:val="Heading1"/>
        <w:spacing w:after="220" w:before="440"/>
      </w:pPr>
      <w:r>
        <w:rPr>
          <w:rFonts w:ascii="Arial" w:cs="Arial" w:eastAsia="Arial" w:hAnsi="Arial"/>
          <w:b/>
          <w:bCs/>
          <w:i w:val="false"/>
          <w:iCs w:val="false"/>
          <w:color w:val="0A1628"/>
          <w:sz w:val="38"/>
          <w:szCs w:val="38"/>
        </w:rPr>
        <w:t xml:space="preserve">10. PANTALLA: REGLAS DE NEGOCIO</w:t>
      </w:r>
    </w:p>
    <w:p>
      <w:pPr>
        <w:spacing w:after="120" w:before="0"/>
        <w:jc w:val="left"/>
      </w:pPr>
      <w:r>
        <w:rPr>
          <w:rFonts w:ascii="Arial" w:cs="Arial" w:eastAsia="Arial" w:hAnsi="Arial"/>
          <w:b w:val="false"/>
          <w:bCs w:val="false"/>
          <w:i w:val="false"/>
          <w:iCs w:val="false"/>
          <w:color w:val="1A202C"/>
          <w:sz w:val="20"/>
          <w:szCs w:val="20"/>
        </w:rPr>
        <w:t xml:space="preserve">Todos los valores de esta pantalla alimentan directamente la tabla tenant_business_rules. El Validation Agent #26 lee esta tabla en cada validación. Cambiar un margen aquí es instantáneo — no requiere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A3050" w:val="clear"/>
            <w:tcMar>
              <w:top w:type="dxa" w:w="100"/>
              <w:left w:type="dxa" w:w="200"/>
              <w:bottom w:type="dxa" w:w="100"/>
              <w:right w:type="dxa" w:w="200"/>
            </w:tcMar>
          </w:tcPr>
          <w:p>
            <w:pPr>
              <w:spacing w:after="40" w:before="0"/>
              <w:jc w:val="left"/>
            </w:pPr>
            <w:r>
              <w:rPr>
                <w:rFonts w:ascii="Arial" w:cs="Arial" w:eastAsia="Arial" w:hAnsi="Arial"/>
                <w:b w:val="false"/>
                <w:bCs w:val="false"/>
                <w:i w:val="false"/>
                <w:iCs w:val="false"/>
                <w:color w:val="E06C75"/>
                <w:sz w:val="16"/>
                <w:szCs w:val="16"/>
              </w:rPr>
              <w:t xml:space="preserve">●  </w:t>
            </w:r>
            <w:r>
              <w:rPr>
                <w:rFonts w:ascii="Arial" w:cs="Arial" w:eastAsia="Arial" w:hAnsi="Arial"/>
                <w:b w:val="false"/>
                <w:bCs w:val="false"/>
                <w:i w:val="false"/>
                <w:iCs w:val="false"/>
                <w:color w:val="E5C07B"/>
                <w:sz w:val="16"/>
                <w:szCs w:val="16"/>
              </w:rPr>
              <w:t xml:space="preserve">●  </w:t>
            </w:r>
            <w:r>
              <w:rPr>
                <w:rFonts w:ascii="Arial" w:cs="Arial" w:eastAsia="Arial" w:hAnsi="Arial"/>
                <w:b w:val="false"/>
                <w:bCs w:val="false"/>
                <w:i w:val="false"/>
                <w:iCs w:val="false"/>
                <w:color w:val="7BC144"/>
                <w:sz w:val="16"/>
                <w:szCs w:val="16"/>
              </w:rPr>
              <w:t xml:space="preserve">●  </w:t>
            </w:r>
            <w:r>
              <w:rPr>
                <w:rFonts w:ascii="Arial" w:cs="Arial" w:eastAsia="Arial" w:hAnsi="Arial"/>
                <w:b/>
                <w:bCs/>
                <w:i w:val="false"/>
                <w:iCs w:val="false"/>
                <w:color w:val="FFFFFF"/>
                <w:sz w:val="17"/>
                <w:szCs w:val="17"/>
              </w:rPr>
              <w:t xml:space="preserve">   Configuración — Reglas de Negocio</w:t>
            </w:r>
          </w:p>
          <w:p>
            <w:pPr>
              <w:spacing w:after="0" w:before="0"/>
              <w:jc w:val="left"/>
            </w:pPr>
            <w:r>
              <w:rPr>
                <w:rFonts w:ascii="Courier New" w:cs="Courier New" w:eastAsia="Courier New" w:hAnsi="Courier New"/>
                <w:b w:val="false"/>
                <w:bCs w:val="false"/>
                <w:i w:val="false"/>
                <w:iCs w:val="false"/>
                <w:color w:val="718096"/>
                <w:sz w:val="15"/>
                <w:szCs w:val="15"/>
              </w:rPr>
              <w:t xml:space="preserve">↗  kinexis.app/dashboard/config/reglas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718096"/>
                <w:sz w:val="17"/>
                <w:szCs w:val="17"/>
              </w:rPr>
              <w:t xml:space="preserve">Acceso requerido: </w:t>
            </w:r>
            <w:r>
              <w:rPr>
                <w:rFonts w:ascii="Arial" w:cs="Arial" w:eastAsia="Arial" w:hAnsi="Arial"/>
                <w:b/>
                <w:bCs/>
                <w:i w:val="false"/>
                <w:iCs w:val="false"/>
                <w:color w:val="2C7A7B"/>
                <w:sz w:val="17"/>
                <w:szCs w:val="17"/>
              </w:rPr>
              <w:t xml:space="preserve">owner | admin</w:t>
            </w:r>
          </w:p>
        </w:tc>
        <w:tc>
          <w:tcPr>
            <w:tcW w:type="dxa" w:w="2160"/>
            <w:tcBorders>
              <w:top w:val="single" w:color="CBD5E0" w:sz="1"/>
              <w:left w:val="single" w:color="CBD5E0" w:sz="1"/>
              <w:bottom w:val="single" w:color="CBD5E0" w:sz="1"/>
              <w:right w:val="single" w:color="CBD5E0" w:sz="1"/>
            </w:tcBorders>
            <w:shd w:fill="0A1628"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7BC144"/>
                <w:sz w:val="17"/>
                <w:szCs w:val="17"/>
              </w:rPr>
              <w:t xml:space="preserve">●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MÁRGENES MÍNIMOS DE VENTA (EL VALIDATION AGENT #26 BLOQUEA CUALQUIER PRECIO POR DEBAJO)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Margen mínimo — Mercado Libre (%)</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Calculado sobre costo: precio_ml &gt;= costo × (1 + margen_ml/100). Incluye comisiones de ML</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 Default: 20</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Margen mínimo — Amazon FBA (%)</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Calculado sobre costo. Debe incluir la comisión de referencia de Amazon + tarifa FBA</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 Default: 25</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Margen mínimo — Shopify (%)</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Calculado sobre costo. Normalmente el mayor margen porque no hay comisión de marketplace</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 Default: 30</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Margen mínimo — Ventas B2B (%)</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Para cotizaciones generadas por el Sales Agent B2B via WhatsApp</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 Default: 18</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LÍMITES DE AUTONOMÍA — CUÁNDO EL SISTEMA PIDE APROBACIÓN HUMANA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Monto máx. auto-aprobación de OC ($MXN)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Órdenes de compra por debajo de este monto no requieren aprobación (0 = siempre requiere). Kap Tools: 0</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en MXN. Default: 0</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Monto de OC que requiere AMBAS socias ($MXN)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Por encima de este monto, Pamela Y Karla deben aprobar</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en MXN. Default: 30000</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Descuento máximo sin aprobación (%)</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El Sales Agent B2B puede ofrecer hasta este descuento sin pedir autorización a socias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 Default: 10</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Monto máximo de venta B2B sin aprobación ($MXN)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Ventas B2B por encima de este monto requieren confirmación explícita de una socia</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en MXN. Default: 15000</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Monto CFDI que requiere aprobación para cancelar ($MXN)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CFDIs por encima de este monto no pueden cancelarse sin aprobación de socias. Hardcoded mínimo: $10,000 MXN por regla SAT</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en MXN. Default: 10000 (mínimo)</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PRESUPUESTOS DE PUBLICIDAD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Presupuesto máximo diario total ADS ($MXN)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Suma de todos los canales: ML + Amazon + Instagram + Facebook. El sistema no puede gastar más sin aprobación</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en MXN. Default: 2000</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ROAS mínimo aceptable — ML</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Por debajo de este ROAS, el ML Ads Manager pausa campañas automáticamente</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Decimal. Default: 2.0</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ROAS mínimo aceptable — Instagram</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Por debajo de este ROAS, el Instagram Ads Manager pausa campañas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Decimal. Default: 2.5</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ACoS máximo — Amazon productos nuevos (%)</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Porcentaje máximo de costo de publicidad sobre ventas para productos en lanzamiento</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 Default: 25</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ACoS máximo — Amazon productos maduros (%)</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Umbral más estricto para productos establecidos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 Default: 18</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INVENTARIO Y REABASTECIMIENTO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Stock mínimo de seguridad (días de ventas)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El Inventory Agent alerta cuando el stock baja de este nivel</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Default: 15</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Stock crítico — trigger de Procurement (días)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Cuando el stock llega a este nivel, el Procurement Agent genera automáticamente una OC en borrador</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Default: 7</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Velocidad de ventas — ventana de cálculo (días)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El sistema usa los últimos N días de ventas para calcular cuánto pedir</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Default: 30</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iCs/>
                <w:color w:val="718096"/>
                <w:sz w:val="16"/>
                <w:szCs w:val="16"/>
              </w:rPr>
              <w:t xml:space="preserve">⚡ El sistema valida y prueba la conexión antes de guardar</w:t>
            </w:r>
          </w:p>
        </w:tc>
        <w:tc>
          <w:tcPr>
            <w:tcW w:type="dxa" w:w="2160"/>
            <w:tcBorders>
              <w:top w:val="single" w:color="CBD5E0" w:sz="1"/>
              <w:left w:val="single" w:color="CBD5E0" w:sz="1"/>
              <w:bottom w:val="single" w:color="CBD5E0" w:sz="1"/>
              <w:right w:val="single" w:color="CBD5E0" w:sz="1"/>
            </w:tcBorders>
            <w:shd w:fill="7BC144"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FFFFFF"/>
                <w:sz w:val="17"/>
                <w:szCs w:val="17"/>
              </w:rPr>
              <w:t xml:space="preserve">[ Guardar y Probar ]</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rPr>
          <w:tblHeader w:val="false"/>
        </w:trPr>
        <w:tc>
          <w:tcPr>
            <w:tcW w:type="dxa" w:w="160"/>
            <w:tcBorders>
              <w:top w:val="none" w:color="FFFFFF" w:sz="0"/>
              <w:left w:val="none" w:color="FFFFFF" w:sz="0"/>
              <w:bottom w:val="none" w:color="FFFFFF" w:sz="0"/>
              <w:right w:val="none" w:color="FFFFFF" w:sz="0"/>
            </w:tcBorders>
            <w:shd w:fill="C05621" w:val="clear"/>
            <w:tcMar>
              <w:top w:type="dxa" w:w="0"/>
              <w:left w:type="dxa" w:w="0"/>
              <w:bottom w:type="dxa" w:w="0"/>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c>
          <w:tcPr>
            <w:tcW w:type="dxa" w:w="9200"/>
            <w:tcBorders>
              <w:top w:val="single" w:color="CBD5E0" w:sz="1"/>
              <w:left w:val="none" w:color="FFFFFF" w:sz="0"/>
              <w:bottom w:val="single" w:color="CBD5E0" w:sz="1"/>
              <w:right w:val="single" w:color="CBD5E0" w:sz="1"/>
            </w:tcBorders>
            <w:shd w:fill="FFFAF0" w:val="clear"/>
            <w:tcMar>
              <w:top w:type="dxa" w:w="120"/>
              <w:left w:type="dxa" w:w="200"/>
              <w:bottom w:type="dxa" w:w="120"/>
              <w:right w:type="dxa" w:w="160"/>
            </w:tcMar>
          </w:tcPr>
          <w:p>
            <w:pPr>
              <w:spacing w:after="80" w:before="0"/>
              <w:jc w:val="left"/>
            </w:pPr>
            <w:r>
              <w:rPr>
                <w:rFonts w:ascii="Arial" w:cs="Arial" w:eastAsia="Arial" w:hAnsi="Arial"/>
                <w:b/>
                <w:bCs/>
                <w:i w:val="false"/>
                <w:iCs w:val="false"/>
                <w:color w:val="C05621"/>
                <w:sz w:val="19"/>
                <w:szCs w:val="19"/>
              </w:rPr>
              <w:t xml:space="preserve">Importante: cambiar márgenes mínimos</w:t>
            </w:r>
          </w:p>
          <w:p>
            <w:pPr>
              <w:spacing w:after="50" w:before="0"/>
              <w:jc w:val="left"/>
            </w:pPr>
            <w:r>
              <w:rPr>
                <w:rFonts w:ascii="Arial" w:cs="Arial" w:eastAsia="Arial" w:hAnsi="Arial"/>
                <w:b w:val="false"/>
                <w:bCs w:val="false"/>
                <w:i w:val="false"/>
                <w:iCs w:val="false"/>
                <w:color w:val="1A202C"/>
                <w:sz w:val="18"/>
                <w:szCs w:val="18"/>
              </w:rPr>
              <w:t xml:space="preserve">Cambiar un margen mínimo tiene efecto inmediato en el Validation Agent #26.</w:t>
            </w:r>
          </w:p>
          <w:p>
            <w:pPr>
              <w:spacing w:after="50" w:before="0"/>
              <w:jc w:val="left"/>
            </w:pPr>
            <w:r>
              <w:rPr>
                <w:rFonts w:ascii="Arial" w:cs="Arial" w:eastAsia="Arial" w:hAnsi="Arial"/>
                <w:b w:val="false"/>
                <w:bCs w:val="false"/>
                <w:i w:val="false"/>
                <w:iCs w:val="false"/>
                <w:color w:val="1A202C"/>
                <w:sz w:val="18"/>
                <w:szCs w:val="18"/>
              </w:rPr>
              <w:t xml:space="preserve">Si se sube el margen mínimo de ML de 20% a 25%, el sistema bloqueará inmediatamente cualquier</w:t>
            </w:r>
          </w:p>
          <w:p>
            <w:pPr>
              <w:spacing w:after="50" w:before="0"/>
              <w:jc w:val="left"/>
            </w:pPr>
            <w:r>
              <w:rPr>
                <w:rFonts w:ascii="Arial" w:cs="Arial" w:eastAsia="Arial" w:hAnsi="Arial"/>
                <w:b w:val="false"/>
                <w:bCs w:val="false"/>
                <w:i w:val="false"/>
                <w:iCs w:val="false"/>
                <w:color w:val="1A202C"/>
                <w:sz w:val="18"/>
                <w:szCs w:val="18"/>
              </w:rPr>
              <w:t xml:space="preserve">precio de ML que esté entre 20% y 25% sobre costo — incluyendo productos ya publicados.</w:t>
            </w:r>
          </w:p>
          <w:p>
            <w:pPr>
              <w:spacing w:after="50" w:before="0"/>
              <w:jc w:val="left"/>
            </w:pPr>
            <w:r>
              <w:rPr>
                <w:rFonts w:ascii="Arial" w:cs="Arial" w:eastAsia="Arial" w:hAnsi="Arial"/>
                <w:b w:val="false"/>
                <w:bCs w:val="false"/>
                <w:i w:val="false"/>
                <w:iCs w:val="false"/>
                <w:color w:val="1A202C"/>
                <w:sz w:val="18"/>
                <w:szCs w:val="18"/>
              </w:rPr>
              <w:t xml:space="preserve">El dashboard muestra una advertencia con el número de productos afectados antes de confirmar el cambio.</w:t>
            </w:r>
          </w:p>
        </w:tc>
      </w:tr>
    </w:tbl>
    <w:p>
      <w:r>
        <w:br w:type="page"/>
      </w:r>
    </w:p>
    <w:p>
      <w:pPr>
        <w:pStyle w:val="Heading1"/>
        <w:spacing w:after="220" w:before="440"/>
      </w:pPr>
      <w:r>
        <w:rPr>
          <w:rFonts w:ascii="Arial" w:cs="Arial" w:eastAsia="Arial" w:hAnsi="Arial"/>
          <w:b/>
          <w:bCs/>
          <w:i w:val="false"/>
          <w:iCs w:val="false"/>
          <w:color w:val="0A1628"/>
          <w:sz w:val="38"/>
          <w:szCs w:val="38"/>
        </w:rPr>
        <w:t xml:space="preserve">11. PANTALLA: PROVEEDORES APROBADOS</w:t>
      </w:r>
    </w:p>
    <w:p>
      <w:pPr>
        <w:spacing w:after="120" w:before="0"/>
        <w:jc w:val="left"/>
      </w:pPr>
      <w:r>
        <w:rPr>
          <w:rFonts w:ascii="Arial" w:cs="Arial" w:eastAsia="Arial" w:hAnsi="Arial"/>
          <w:b w:val="false"/>
          <w:bCs w:val="false"/>
          <w:i w:val="false"/>
          <w:iCs w:val="false"/>
          <w:color w:val="1A202C"/>
          <w:sz w:val="20"/>
          <w:szCs w:val="20"/>
        </w:rPr>
        <w:t xml:space="preserve">El Procurement Agent SOLO puede generar órdenes de compra para proveedores en esta lista. Agregar un proveedor nuevo a esta lista siempre requiere rol owner o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A3050" w:val="clear"/>
            <w:tcMar>
              <w:top w:type="dxa" w:w="100"/>
              <w:left w:type="dxa" w:w="200"/>
              <w:bottom w:type="dxa" w:w="100"/>
              <w:right w:type="dxa" w:w="200"/>
            </w:tcMar>
          </w:tcPr>
          <w:p>
            <w:pPr>
              <w:spacing w:after="40" w:before="0"/>
              <w:jc w:val="left"/>
            </w:pPr>
            <w:r>
              <w:rPr>
                <w:rFonts w:ascii="Arial" w:cs="Arial" w:eastAsia="Arial" w:hAnsi="Arial"/>
                <w:b w:val="false"/>
                <w:bCs w:val="false"/>
                <w:i w:val="false"/>
                <w:iCs w:val="false"/>
                <w:color w:val="E06C75"/>
                <w:sz w:val="16"/>
                <w:szCs w:val="16"/>
              </w:rPr>
              <w:t xml:space="preserve">●  </w:t>
            </w:r>
            <w:r>
              <w:rPr>
                <w:rFonts w:ascii="Arial" w:cs="Arial" w:eastAsia="Arial" w:hAnsi="Arial"/>
                <w:b w:val="false"/>
                <w:bCs w:val="false"/>
                <w:i w:val="false"/>
                <w:iCs w:val="false"/>
                <w:color w:val="E5C07B"/>
                <w:sz w:val="16"/>
                <w:szCs w:val="16"/>
              </w:rPr>
              <w:t xml:space="preserve">●  </w:t>
            </w:r>
            <w:r>
              <w:rPr>
                <w:rFonts w:ascii="Arial" w:cs="Arial" w:eastAsia="Arial" w:hAnsi="Arial"/>
                <w:b w:val="false"/>
                <w:bCs w:val="false"/>
                <w:i w:val="false"/>
                <w:iCs w:val="false"/>
                <w:color w:val="7BC144"/>
                <w:sz w:val="16"/>
                <w:szCs w:val="16"/>
              </w:rPr>
              <w:t xml:space="preserve">●  </w:t>
            </w:r>
            <w:r>
              <w:rPr>
                <w:rFonts w:ascii="Arial" w:cs="Arial" w:eastAsia="Arial" w:hAnsi="Arial"/>
                <w:b/>
                <w:bCs/>
                <w:i w:val="false"/>
                <w:iCs w:val="false"/>
                <w:color w:val="FFFFFF"/>
                <w:sz w:val="17"/>
                <w:szCs w:val="17"/>
              </w:rPr>
              <w:t xml:space="preserve">   Configuración — Proveedores Aprobados</w:t>
            </w:r>
          </w:p>
          <w:p>
            <w:pPr>
              <w:spacing w:after="0" w:before="0"/>
              <w:jc w:val="left"/>
            </w:pPr>
            <w:r>
              <w:rPr>
                <w:rFonts w:ascii="Courier New" w:cs="Courier New" w:eastAsia="Courier New" w:hAnsi="Courier New"/>
                <w:b w:val="false"/>
                <w:bCs w:val="false"/>
                <w:i w:val="false"/>
                <w:iCs w:val="false"/>
                <w:color w:val="718096"/>
                <w:sz w:val="15"/>
                <w:szCs w:val="15"/>
              </w:rPr>
              <w:t xml:space="preserve">↗  kinexis.app/dashboard/config/proveedores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718096"/>
                <w:sz w:val="17"/>
                <w:szCs w:val="17"/>
              </w:rPr>
              <w:t xml:space="preserve">Acceso requerido: </w:t>
            </w:r>
            <w:r>
              <w:rPr>
                <w:rFonts w:ascii="Arial" w:cs="Arial" w:eastAsia="Arial" w:hAnsi="Arial"/>
                <w:b/>
                <w:bCs/>
                <w:i w:val="false"/>
                <w:iCs w:val="false"/>
                <w:color w:val="2C7A7B"/>
                <w:sz w:val="17"/>
                <w:szCs w:val="17"/>
              </w:rPr>
              <w:t xml:space="preserve">owner | admin</w:t>
            </w:r>
          </w:p>
        </w:tc>
        <w:tc>
          <w:tcPr>
            <w:tcW w:type="dxa" w:w="2160"/>
            <w:tcBorders>
              <w:top w:val="single" w:color="CBD5E0" w:sz="1"/>
              <w:left w:val="single" w:color="CBD5E0" w:sz="1"/>
              <w:bottom w:val="single" w:color="CBD5E0" w:sz="1"/>
              <w:right w:val="single" w:color="CBD5E0" w:sz="1"/>
            </w:tcBorders>
            <w:shd w:fill="0A1628"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7BC144"/>
                <w:sz w:val="17"/>
                <w:szCs w:val="17"/>
              </w:rPr>
              <w:t xml:space="preserve">●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REGISTRO DE PROVEEDOR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Nombre del proveedor</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Razón social o nombre comercial</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Text input</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Canal de contacto preferido</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Cómo el Procurement Agent envía las órdenes de compra aprobadas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Select: WhatsApp | Email | Ambos</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WhatsApp del proveedor</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Número con código de país. Ej: +5215512345678</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Phone input con formato internacional</w:t>
            </w:r>
          </w:p>
        </w:tc>
        <w:tc>
          <w:tcPr>
            <w:tcW w:type="dxa" w:w="1200"/>
            <w:tcBorders>
              <w:top w:val="single" w:color="CBD5E0" w:sz="1"/>
              <w:left w:val="single" w:color="CBD5E0" w:sz="1"/>
              <w:bottom w:val="single" w:color="CBD5E0" w:sz="1"/>
              <w:right w:val="single" w:color="CBD5E0" w:sz="1"/>
            </w:tcBorders>
            <w:shd w:fill="E6FFFA"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2C7A7B"/>
                <w:sz w:val="16"/>
                <w:szCs w:val="16"/>
              </w:rPr>
              <w:t xml:space="preserve">OPCIONAL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Email del proveedor</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Para envío de OC por Resend</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Email validado</w:t>
            </w:r>
          </w:p>
        </w:tc>
        <w:tc>
          <w:tcPr>
            <w:tcW w:type="dxa" w:w="1200"/>
            <w:tcBorders>
              <w:top w:val="single" w:color="CBD5E0" w:sz="1"/>
              <w:left w:val="single" w:color="CBD5E0" w:sz="1"/>
              <w:bottom w:val="single" w:color="CBD5E0" w:sz="1"/>
              <w:right w:val="single" w:color="CBD5E0" w:sz="1"/>
            </w:tcBorders>
            <w:shd w:fill="E6FFFA"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2C7A7B"/>
                <w:sz w:val="16"/>
                <w:szCs w:val="16"/>
              </w:rPr>
              <w:t xml:space="preserve">OPCIONAL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Categorías que surte</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El sistema solo mostrará este proveedor para SKUs de estas categorías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Multi-select: herramientas | reactivos | consumibles | repuestos | otros</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País de origen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Afecta cómo el Import Logistics Agent hace seguimiento</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Select. Default: México</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Tiempo de entrega promedio (días hábiles)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Usado para calcular ETAs de reabastecimiento</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Default: 5</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Moneda de transacción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Si es USD, el sistema aplica tipo de cambio Banxico del día</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Select: MXN | USD. Default: MXN</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Límite de crédito ($)</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El Procurement Agent no puede comprometer más de este monto pendiente de pago con este proveedor</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en la moneda seleccionada</w:t>
            </w:r>
          </w:p>
        </w:tc>
        <w:tc>
          <w:tcPr>
            <w:tcW w:type="dxa" w:w="1200"/>
            <w:tcBorders>
              <w:top w:val="single" w:color="CBD5E0" w:sz="1"/>
              <w:left w:val="single" w:color="CBD5E0" w:sz="1"/>
              <w:bottom w:val="single" w:color="CBD5E0" w:sz="1"/>
              <w:right w:val="single" w:color="CBD5E0" w:sz="1"/>
            </w:tcBorders>
            <w:shd w:fill="E6FFFA"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2C7A7B"/>
                <w:sz w:val="16"/>
                <w:szCs w:val="16"/>
              </w:rPr>
              <w:t xml:space="preserve">OPCIONAL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Condiciones de pago</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Para referencia del agente al generar la OC</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Text libre. Ej: '30 días neto', 'Pago anticipado 50%'</w:t>
            </w:r>
          </w:p>
        </w:tc>
        <w:tc>
          <w:tcPr>
            <w:tcW w:type="dxa" w:w="1200"/>
            <w:tcBorders>
              <w:top w:val="single" w:color="CBD5E0" w:sz="1"/>
              <w:left w:val="single" w:color="CBD5E0" w:sz="1"/>
              <w:bottom w:val="single" w:color="CBD5E0" w:sz="1"/>
              <w:right w:val="single" w:color="CBD5E0" w:sz="1"/>
            </w:tcBorders>
            <w:shd w:fill="E6FFFA"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2C7A7B"/>
                <w:sz w:val="16"/>
                <w:szCs w:val="16"/>
              </w:rPr>
              <w:t xml:space="preserve">OPCIONAL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Notas para el agente</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Instrucciones especiales que el Procurement Agent incluirá en las OCs a este proveedor</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Textarea</w:t>
            </w:r>
          </w:p>
        </w:tc>
        <w:tc>
          <w:tcPr>
            <w:tcW w:type="dxa" w:w="1200"/>
            <w:tcBorders>
              <w:top w:val="single" w:color="CBD5E0" w:sz="1"/>
              <w:left w:val="single" w:color="CBD5E0" w:sz="1"/>
              <w:bottom w:val="single" w:color="CBD5E0" w:sz="1"/>
              <w:right w:val="single" w:color="CBD5E0" w:sz="1"/>
            </w:tcBorders>
            <w:shd w:fill="E6FFFA"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2C7A7B"/>
                <w:sz w:val="16"/>
                <w:szCs w:val="16"/>
              </w:rPr>
              <w:t xml:space="preserve">OPCIONAL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Estado</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Solo los proveedores Activos pueden recibir OCs del sistema</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Select: Activo | Inactivo | Suspendido. Default: Activo</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iCs/>
                <w:color w:val="718096"/>
                <w:sz w:val="16"/>
                <w:szCs w:val="16"/>
              </w:rPr>
              <w:t xml:space="preserve">⚡ El sistema valida y prueba la conexión antes de guardar</w:t>
            </w:r>
          </w:p>
        </w:tc>
        <w:tc>
          <w:tcPr>
            <w:tcW w:type="dxa" w:w="2160"/>
            <w:tcBorders>
              <w:top w:val="single" w:color="CBD5E0" w:sz="1"/>
              <w:left w:val="single" w:color="CBD5E0" w:sz="1"/>
              <w:bottom w:val="single" w:color="CBD5E0" w:sz="1"/>
              <w:right w:val="single" w:color="CBD5E0" w:sz="1"/>
            </w:tcBorders>
            <w:shd w:fill="7BC144"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FFFFFF"/>
                <w:sz w:val="17"/>
                <w:szCs w:val="17"/>
              </w:rPr>
              <w:t xml:space="preserve">[ Guardar y Probar ]</w:t>
            </w:r>
          </w:p>
        </w:tc>
      </w:tr>
    </w:tbl>
    <w:p>
      <w:pPr>
        <w:spacing w:after="0"/>
      </w:pPr>
      <w:r>
        <w:t xml:space="preserve"/>
      </w:r>
    </w:p>
    <w:p>
      <w:r>
        <w:br w:type="page"/>
      </w:r>
    </w:p>
    <w:p>
      <w:pPr>
        <w:pStyle w:val="Heading1"/>
        <w:spacing w:after="220" w:before="440"/>
      </w:pPr>
      <w:r>
        <w:rPr>
          <w:rFonts w:ascii="Arial" w:cs="Arial" w:eastAsia="Arial" w:hAnsi="Arial"/>
          <w:b/>
          <w:bCs/>
          <w:i w:val="false"/>
          <w:iCs w:val="false"/>
          <w:color w:val="0A1628"/>
          <w:sz w:val="38"/>
          <w:szCs w:val="38"/>
        </w:rPr>
        <w:t xml:space="preserve">12. PANTALLA: ALMACÉN E IMPRESORA TÉRMICA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A3050" w:val="clear"/>
            <w:tcMar>
              <w:top w:type="dxa" w:w="100"/>
              <w:left w:type="dxa" w:w="200"/>
              <w:bottom w:type="dxa" w:w="100"/>
              <w:right w:type="dxa" w:w="200"/>
            </w:tcMar>
          </w:tcPr>
          <w:p>
            <w:pPr>
              <w:spacing w:after="40" w:before="0"/>
              <w:jc w:val="left"/>
            </w:pPr>
            <w:r>
              <w:rPr>
                <w:rFonts w:ascii="Arial" w:cs="Arial" w:eastAsia="Arial" w:hAnsi="Arial"/>
                <w:b w:val="false"/>
                <w:bCs w:val="false"/>
                <w:i w:val="false"/>
                <w:iCs w:val="false"/>
                <w:color w:val="E06C75"/>
                <w:sz w:val="16"/>
                <w:szCs w:val="16"/>
              </w:rPr>
              <w:t xml:space="preserve">●  </w:t>
            </w:r>
            <w:r>
              <w:rPr>
                <w:rFonts w:ascii="Arial" w:cs="Arial" w:eastAsia="Arial" w:hAnsi="Arial"/>
                <w:b w:val="false"/>
                <w:bCs w:val="false"/>
                <w:i w:val="false"/>
                <w:iCs w:val="false"/>
                <w:color w:val="E5C07B"/>
                <w:sz w:val="16"/>
                <w:szCs w:val="16"/>
              </w:rPr>
              <w:t xml:space="preserve">●  </w:t>
            </w:r>
            <w:r>
              <w:rPr>
                <w:rFonts w:ascii="Arial" w:cs="Arial" w:eastAsia="Arial" w:hAnsi="Arial"/>
                <w:b w:val="false"/>
                <w:bCs w:val="false"/>
                <w:i w:val="false"/>
                <w:iCs w:val="false"/>
                <w:color w:val="7BC144"/>
                <w:sz w:val="16"/>
                <w:szCs w:val="16"/>
              </w:rPr>
              <w:t xml:space="preserve">●  </w:t>
            </w:r>
            <w:r>
              <w:rPr>
                <w:rFonts w:ascii="Arial" w:cs="Arial" w:eastAsia="Arial" w:hAnsi="Arial"/>
                <w:b/>
                <w:bCs/>
                <w:i w:val="false"/>
                <w:iCs w:val="false"/>
                <w:color w:val="FFFFFF"/>
                <w:sz w:val="17"/>
                <w:szCs w:val="17"/>
              </w:rPr>
              <w:t xml:space="preserve">   Configuración — Almacén</w:t>
            </w:r>
          </w:p>
          <w:p>
            <w:pPr>
              <w:spacing w:after="0" w:before="0"/>
              <w:jc w:val="left"/>
            </w:pPr>
            <w:r>
              <w:rPr>
                <w:rFonts w:ascii="Courier New" w:cs="Courier New" w:eastAsia="Courier New" w:hAnsi="Courier New"/>
                <w:b w:val="false"/>
                <w:bCs w:val="false"/>
                <w:i w:val="false"/>
                <w:iCs w:val="false"/>
                <w:color w:val="718096"/>
                <w:sz w:val="15"/>
                <w:szCs w:val="15"/>
              </w:rPr>
              <w:t xml:space="preserve">↗  kinexis.app/dashboard/config/almacen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718096"/>
                <w:sz w:val="17"/>
                <w:szCs w:val="17"/>
              </w:rPr>
              <w:t xml:space="preserve">Acceso requerido: </w:t>
            </w:r>
            <w:r>
              <w:rPr>
                <w:rFonts w:ascii="Arial" w:cs="Arial" w:eastAsia="Arial" w:hAnsi="Arial"/>
                <w:b/>
                <w:bCs/>
                <w:i w:val="false"/>
                <w:iCs w:val="false"/>
                <w:color w:val="2C7A7B"/>
                <w:sz w:val="17"/>
                <w:szCs w:val="17"/>
              </w:rPr>
              <w:t xml:space="preserve">owner | admin</w:t>
            </w:r>
          </w:p>
        </w:tc>
        <w:tc>
          <w:tcPr>
            <w:tcW w:type="dxa" w:w="2160"/>
            <w:tcBorders>
              <w:top w:val="single" w:color="CBD5E0" w:sz="1"/>
              <w:left w:val="single" w:color="CBD5E0" w:sz="1"/>
              <w:bottom w:val="single" w:color="CBD5E0" w:sz="1"/>
              <w:right w:val="single" w:color="CBD5E0" w:sz="1"/>
            </w:tcBorders>
            <w:shd w:fill="0A1628"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7BC144"/>
                <w:sz w:val="17"/>
                <w:szCs w:val="17"/>
              </w:rPr>
              <w:t xml:space="preserve">●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CONFIGURACIÓN DE IMPRESORA TÉRMICA ADHESIVA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IP de la impresora en red local</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La impresora y el servidor de KINEXIS deben estar en la misma red. Ej: 192.168.1.100</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IP input con validación de formato</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Puerto</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Puerto de comunicación con la impresora. ZPL usa 9100 por default</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Default: 9100</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Protocolo de impresión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ZPL: Zebra Programming Language (Zebra, Brother con ZPL). EPL: Eltron Programming Language (modelos más viejos de Zebra)</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Select: ZPL | EPL</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Marca y modelo</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Para configurar el driver correcto de generación de etiquetas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Text. Ej: Zebra ZD420, Brother QL-820NWB, TSC TTP-244 Pro</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Tamaño de etiqueta (mm)</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Ancho × Alto de la etiqueta adhesiva en mm</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Dos numbers: ancho × alto. Ej: 100 × 150</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Test de impresión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Envía una etiqueta de prueba a la impresora para verificar la conexión y el tamaño</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Botón — imprime etiqueta de prueba</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Contenido de la etiqueta</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Campos que aparecen en cada etiqueta de envío</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Multi-select: Número de orden ✓ | Producto ✓ | Cantidad ✓ | Dirección de envío ✓ | Logo Kap Tools ✓ | Código de barras ✓</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CONFIGURACIÓN DEL ALMACENISTA (CARLOS)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WhatsApp de Carlos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Número al que el Warehouse Coordinator Agent envía la alerta matutina con las tareas del día</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Phone input internacional. Ej: +522221234567</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Hora de alerta matutina</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A qué hora Carlos recibe el resumen diario de órdenes a surtir</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Time picker. Default: 7:45 AM</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Días laborales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En qué días se envía la alerta y se esperan confirmaciones de Carlos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Multi-select días. Default: L-V</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Tiempo máximo de respuesta de Carlos (horas)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Si Carlos no confirma ninguna tarea en este tiempo, se notifica a las socias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Default: 4</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Usuario de Carlos en el dashboard</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Email del usuario del almacenista — tiene acceso solo a la vista de almacén</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Email del user_profile con rol=warehouse</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iCs/>
                <w:color w:val="718096"/>
                <w:sz w:val="16"/>
                <w:szCs w:val="16"/>
              </w:rPr>
              <w:t xml:space="preserve">⚡ El sistema valida y prueba la conexión antes de guardar</w:t>
            </w:r>
          </w:p>
        </w:tc>
        <w:tc>
          <w:tcPr>
            <w:tcW w:type="dxa" w:w="2160"/>
            <w:tcBorders>
              <w:top w:val="single" w:color="CBD5E0" w:sz="1"/>
              <w:left w:val="single" w:color="CBD5E0" w:sz="1"/>
              <w:bottom w:val="single" w:color="CBD5E0" w:sz="1"/>
              <w:right w:val="single" w:color="CBD5E0" w:sz="1"/>
            </w:tcBorders>
            <w:shd w:fill="7BC144"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FFFFFF"/>
                <w:sz w:val="17"/>
                <w:szCs w:val="17"/>
              </w:rPr>
              <w:t xml:space="preserve">[ Guardar y Probar ]</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rPr>
          <w:tblHeader w:val="false"/>
        </w:trPr>
        <w:tc>
          <w:tcPr>
            <w:tcW w:type="dxa" w:w="160"/>
            <w:tcBorders>
              <w:top w:val="none" w:color="FFFFFF" w:sz="0"/>
              <w:left w:val="none" w:color="FFFFFF" w:sz="0"/>
              <w:bottom w:val="none" w:color="FFFFFF" w:sz="0"/>
              <w:right w:val="none" w:color="FFFFFF" w:sz="0"/>
            </w:tcBorders>
            <w:shd w:fill="C05621" w:val="clear"/>
            <w:tcMar>
              <w:top w:type="dxa" w:w="0"/>
              <w:left w:type="dxa" w:w="0"/>
              <w:bottom w:type="dxa" w:w="0"/>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c>
          <w:tcPr>
            <w:tcW w:type="dxa" w:w="9200"/>
            <w:tcBorders>
              <w:top w:val="single" w:color="CBD5E0" w:sz="1"/>
              <w:left w:val="none" w:color="FFFFFF" w:sz="0"/>
              <w:bottom w:val="single" w:color="CBD5E0" w:sz="1"/>
              <w:right w:val="single" w:color="CBD5E0" w:sz="1"/>
            </w:tcBorders>
            <w:shd w:fill="FFFAF0" w:val="clear"/>
            <w:tcMar>
              <w:top w:type="dxa" w:w="120"/>
              <w:left w:type="dxa" w:w="200"/>
              <w:bottom w:type="dxa" w:w="120"/>
              <w:right w:type="dxa" w:w="160"/>
            </w:tcMar>
          </w:tcPr>
          <w:p>
            <w:pPr>
              <w:spacing w:after="80" w:before="0"/>
              <w:jc w:val="left"/>
            </w:pPr>
            <w:r>
              <w:rPr>
                <w:rFonts w:ascii="Arial" w:cs="Arial" w:eastAsia="Arial" w:hAnsi="Arial"/>
                <w:b/>
                <w:bCs/>
                <w:i w:val="false"/>
                <w:iCs w:val="false"/>
                <w:color w:val="C05621"/>
                <w:sz w:val="19"/>
                <w:szCs w:val="19"/>
              </w:rPr>
              <w:t xml:space="preserve">Pendiente Kap Tools — Impresora Térmica</w:t>
            </w:r>
          </w:p>
          <w:p>
            <w:pPr>
              <w:spacing w:after="50" w:before="0"/>
              <w:jc w:val="left"/>
            </w:pPr>
            <w:r>
              <w:rPr>
                <w:rFonts w:ascii="Arial" w:cs="Arial" w:eastAsia="Arial" w:hAnsi="Arial"/>
                <w:b w:val="false"/>
                <w:bCs w:val="false"/>
                <w:i w:val="false"/>
                <w:iCs w:val="false"/>
                <w:color w:val="1A202C"/>
                <w:sz w:val="18"/>
                <w:szCs w:val="18"/>
              </w:rPr>
              <w:t xml:space="preserve">Carlos debe confirmar: marca, modelo y si la impresora tiene conectividad de red (Ethernet/WiFi).</w:t>
            </w:r>
          </w:p>
          <w:p>
            <w:pPr>
              <w:spacing w:after="50" w:before="0"/>
              <w:jc w:val="left"/>
            </w:pPr>
            <w:r>
              <w:rPr>
                <w:rFonts w:ascii="Arial" w:cs="Arial" w:eastAsia="Arial" w:hAnsi="Arial"/>
                <w:b w:val="false"/>
                <w:bCs w:val="false"/>
                <w:i w:val="false"/>
                <w:iCs w:val="false"/>
                <w:color w:val="1A202C"/>
                <w:sz w:val="18"/>
                <w:szCs w:val="18"/>
              </w:rPr>
              <w:t xml:space="preserve">Si la impresora es solo USB, se necesita un servidor de impresión intermedio (Raspberry Pi, computadora de almacén).</w:t>
            </w:r>
          </w:p>
          <w:p>
            <w:pPr>
              <w:spacing w:after="50" w:before="0"/>
              <w:jc w:val="left"/>
            </w:pPr>
            <w:r>
              <w:rPr>
                <w:rFonts w:ascii="Arial" w:cs="Arial" w:eastAsia="Arial" w:hAnsi="Arial"/>
                <w:b w:val="false"/>
                <w:bCs w:val="false"/>
                <w:i w:val="false"/>
                <w:iCs w:val="false"/>
                <w:color w:val="1A202C"/>
                <w:sz w:val="18"/>
                <w:szCs w:val="18"/>
              </w:rPr>
              <w:t xml:space="preserve">La IP debe ser fija (asignada por el router) — no DHCP, para que KINEXIS siempre encuentre la impresora.</w:t>
            </w:r>
          </w:p>
          <w:p>
            <w:pPr>
              <w:spacing w:after="50" w:before="0"/>
              <w:jc w:val="left"/>
            </w:pPr>
            <w:r>
              <w:rPr>
                <w:rFonts w:ascii="Arial" w:cs="Arial" w:eastAsia="Arial" w:hAnsi="Arial"/>
                <w:b w:val="false"/>
                <w:bCs w:val="false"/>
                <w:i w:val="false"/>
                <w:iCs w:val="false"/>
                <w:color w:val="1A202C"/>
                <w:sz w:val="18"/>
                <w:szCs w:val="18"/>
              </w:rPr>
              <w:t xml:space="preserve">Una vez confirmados estos datos, la integración toma aproximadamente 30 minutos.</w:t>
            </w:r>
          </w:p>
        </w:tc>
      </w:tr>
    </w:tbl>
    <w:p>
      <w:r>
        <w:br w:type="page"/>
      </w:r>
    </w:p>
    <w:p>
      <w:pPr>
        <w:pStyle w:val="Heading1"/>
        <w:spacing w:after="220" w:before="440"/>
      </w:pPr>
      <w:r>
        <w:rPr>
          <w:rFonts w:ascii="Arial" w:cs="Arial" w:eastAsia="Arial" w:hAnsi="Arial"/>
          <w:b/>
          <w:bCs/>
          <w:i w:val="false"/>
          <w:iCs w:val="false"/>
          <w:color w:val="0A1628"/>
          <w:sz w:val="38"/>
          <w:szCs w:val="38"/>
        </w:rPr>
        <w:t xml:space="preserve">13. PANTALLA: PORTAL DE CONTADORES</w:t>
      </w:r>
    </w:p>
    <w:p>
      <w:pPr>
        <w:spacing w:after="120" w:before="0"/>
        <w:jc w:val="left"/>
      </w:pPr>
      <w:r>
        <w:rPr>
          <w:rFonts w:ascii="Arial" w:cs="Arial" w:eastAsia="Arial" w:hAnsi="Arial"/>
          <w:b w:val="false"/>
          <w:bCs w:val="false"/>
          <w:i w:val="false"/>
          <w:iCs w:val="false"/>
          <w:color w:val="1A202C"/>
          <w:sz w:val="20"/>
          <w:szCs w:val="20"/>
        </w:rPr>
        <w:t xml:space="preserve">Acceso separado con URL dedicada para el contador externo de Kap Tools. Vista completamente diferente al dashboard principal — solo información fiscal.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A3050" w:val="clear"/>
            <w:tcMar>
              <w:top w:type="dxa" w:w="100"/>
              <w:left w:type="dxa" w:w="200"/>
              <w:bottom w:type="dxa" w:w="100"/>
              <w:right w:type="dxa" w:w="200"/>
            </w:tcMar>
          </w:tcPr>
          <w:p>
            <w:pPr>
              <w:spacing w:after="40" w:before="0"/>
              <w:jc w:val="left"/>
            </w:pPr>
            <w:r>
              <w:rPr>
                <w:rFonts w:ascii="Arial" w:cs="Arial" w:eastAsia="Arial" w:hAnsi="Arial"/>
                <w:b w:val="false"/>
                <w:bCs w:val="false"/>
                <w:i w:val="false"/>
                <w:iCs w:val="false"/>
                <w:color w:val="E06C75"/>
                <w:sz w:val="16"/>
                <w:szCs w:val="16"/>
              </w:rPr>
              <w:t xml:space="preserve">●  </w:t>
            </w:r>
            <w:r>
              <w:rPr>
                <w:rFonts w:ascii="Arial" w:cs="Arial" w:eastAsia="Arial" w:hAnsi="Arial"/>
                <w:b w:val="false"/>
                <w:bCs w:val="false"/>
                <w:i w:val="false"/>
                <w:iCs w:val="false"/>
                <w:color w:val="E5C07B"/>
                <w:sz w:val="16"/>
                <w:szCs w:val="16"/>
              </w:rPr>
              <w:t xml:space="preserve">●  </w:t>
            </w:r>
            <w:r>
              <w:rPr>
                <w:rFonts w:ascii="Arial" w:cs="Arial" w:eastAsia="Arial" w:hAnsi="Arial"/>
                <w:b w:val="false"/>
                <w:bCs w:val="false"/>
                <w:i w:val="false"/>
                <w:iCs w:val="false"/>
                <w:color w:val="7BC144"/>
                <w:sz w:val="16"/>
                <w:szCs w:val="16"/>
              </w:rPr>
              <w:t xml:space="preserve">●  </w:t>
            </w:r>
            <w:r>
              <w:rPr>
                <w:rFonts w:ascii="Arial" w:cs="Arial" w:eastAsia="Arial" w:hAnsi="Arial"/>
                <w:b/>
                <w:bCs/>
                <w:i w:val="false"/>
                <w:iCs w:val="false"/>
                <w:color w:val="FFFFFF"/>
                <w:sz w:val="17"/>
                <w:szCs w:val="17"/>
              </w:rPr>
              <w:t xml:space="preserve">   Portal Fiscal — Contador Externo</w:t>
            </w:r>
          </w:p>
          <w:p>
            <w:pPr>
              <w:spacing w:after="0" w:before="0"/>
              <w:jc w:val="left"/>
            </w:pPr>
            <w:r>
              <w:rPr>
                <w:rFonts w:ascii="Courier New" w:cs="Courier New" w:eastAsia="Courier New" w:hAnsi="Courier New"/>
                <w:b w:val="false"/>
                <w:bCs w:val="false"/>
                <w:i w:val="false"/>
                <w:iCs w:val="false"/>
                <w:color w:val="718096"/>
                <w:sz w:val="15"/>
                <w:szCs w:val="15"/>
              </w:rPr>
              <w:t xml:space="preserve">↗  kinexis.app/contador  (URL separada del dashboard principal)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718096"/>
                <w:sz w:val="17"/>
                <w:szCs w:val="17"/>
              </w:rPr>
              <w:t xml:space="preserve">Acceso requerido: </w:t>
            </w:r>
            <w:r>
              <w:rPr>
                <w:rFonts w:ascii="Arial" w:cs="Arial" w:eastAsia="Arial" w:hAnsi="Arial"/>
                <w:b/>
                <w:bCs/>
                <w:i w:val="false"/>
                <w:iCs w:val="false"/>
                <w:color w:val="2C7A7B"/>
                <w:sz w:val="17"/>
                <w:szCs w:val="17"/>
              </w:rPr>
              <w:t xml:space="preserve">contador (rol exclusivo — no puede ver nada más del sistema)</w:t>
            </w:r>
          </w:p>
        </w:tc>
        <w:tc>
          <w:tcPr>
            <w:tcW w:type="dxa" w:w="2160"/>
            <w:tcBorders>
              <w:top w:val="single" w:color="CBD5E0" w:sz="1"/>
              <w:left w:val="single" w:color="CBD5E0" w:sz="1"/>
              <w:bottom w:val="single" w:color="CBD5E0" w:sz="1"/>
              <w:right w:val="single" w:color="CBD5E0" w:sz="1"/>
            </w:tcBorders>
            <w:shd w:fill="0A1628"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7BC144"/>
                <w:sz w:val="17"/>
                <w:szCs w:val="17"/>
              </w:rPr>
              <w:t xml:space="preserve">●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PANEL FISCAL — LO QUE VE EL CONTADOR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Resumen del período</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Total de CFDIs emitidos, monto total facturado, IVA trasladado — para el período seleccionable</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Date range selector + KPIs automáticos</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Lista de CFDIs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UUID, folio, fecha, RFC receptor, tipo (I/E/P), monto total, status. Con filtros por período, tipo y status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Tabla paginada con filtros</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Descarga individual (XML + PDF)</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Descarga de XML y PDF de cualquier CFDI de la lista</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Botones de descarga por fila</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Descarga masiva del período</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ZIP con todos los XML + PDF del mes seleccionado. Para presentación al SAT</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Botón 'Descargar mes completo (ZIP)'</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CFDIs con alertas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CFDIs en status ERROR_VALIDACION o con RFC en lista EFOS del SAT</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Sección de alertas con detalle del error</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Calendario fiscal</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Recordatorio de fechas del SAT: declaración mensual (día 17), declaración anual (abril), etc.</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Calendario con alertas próximas</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LO QUE EL CONTADOR NO PUEDE VER (REFORZADO POR RLS)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Ventas por canal / métricas de marketing</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Bloqueado por RLS de Supabase — no aparece en ninguna query del rol contador</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No visible</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Inventario, costos de productos, proveedores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Bloqueado por RLS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No visible</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Conversaciones con clientes (WhatsApp, Instagram, ML)</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Bloqueado por RLS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No visible</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Configuración del sistema, API keys, reglas de negocio</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Bloqueado por RLS + middleware de rol</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No visible</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iCs/>
                <w:color w:val="718096"/>
                <w:sz w:val="16"/>
                <w:szCs w:val="16"/>
              </w:rPr>
              <w:t xml:space="preserve">⚡ El sistema valida y prueba la conexión antes de guardar</w:t>
            </w:r>
          </w:p>
        </w:tc>
        <w:tc>
          <w:tcPr>
            <w:tcW w:type="dxa" w:w="2160"/>
            <w:tcBorders>
              <w:top w:val="single" w:color="CBD5E0" w:sz="1"/>
              <w:left w:val="single" w:color="CBD5E0" w:sz="1"/>
              <w:bottom w:val="single" w:color="CBD5E0" w:sz="1"/>
              <w:right w:val="single" w:color="CBD5E0" w:sz="1"/>
            </w:tcBorders>
            <w:shd w:fill="7BC144"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FFFFFF"/>
                <w:sz w:val="17"/>
                <w:szCs w:val="17"/>
              </w:rPr>
              <w:t xml:space="preserve">[ Guardar y Probar ]</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rPr>
          <w:tblHeader w:val="false"/>
        </w:trPr>
        <w:tc>
          <w:tcPr>
            <w:tcW w:type="dxa" w:w="160"/>
            <w:tcBorders>
              <w:top w:val="none" w:color="FFFFFF" w:sz="0"/>
              <w:left w:val="none" w:color="FFFFFF" w:sz="0"/>
              <w:bottom w:val="none" w:color="FFFFFF" w:sz="0"/>
              <w:right w:val="none" w:color="FFFFFF" w:sz="0"/>
            </w:tcBorders>
            <w:shd w:fill="2C7A7B" w:val="clear"/>
            <w:tcMar>
              <w:top w:type="dxa" w:w="0"/>
              <w:left w:type="dxa" w:w="0"/>
              <w:bottom w:type="dxa" w:w="0"/>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c>
          <w:tcPr>
            <w:tcW w:type="dxa" w:w="9200"/>
            <w:tcBorders>
              <w:top w:val="single" w:color="CBD5E0" w:sz="1"/>
              <w:left w:val="none" w:color="FFFFFF" w:sz="0"/>
              <w:bottom w:val="single" w:color="CBD5E0" w:sz="1"/>
              <w:right w:val="single" w:color="CBD5E0" w:sz="1"/>
            </w:tcBorders>
            <w:shd w:fill="E6FFFA" w:val="clear"/>
            <w:tcMar>
              <w:top w:type="dxa" w:w="120"/>
              <w:left w:type="dxa" w:w="200"/>
              <w:bottom w:type="dxa" w:w="120"/>
              <w:right w:type="dxa" w:w="160"/>
            </w:tcMar>
          </w:tcPr>
          <w:p>
            <w:pPr>
              <w:spacing w:after="80" w:before="0"/>
              <w:jc w:val="left"/>
            </w:pPr>
            <w:r>
              <w:rPr>
                <w:rFonts w:ascii="Arial" w:cs="Arial" w:eastAsia="Arial" w:hAnsi="Arial"/>
                <w:b/>
                <w:bCs/>
                <w:i w:val="false"/>
                <w:iCs w:val="false"/>
                <w:color w:val="2C7A7B"/>
                <w:sz w:val="19"/>
                <w:szCs w:val="19"/>
              </w:rPr>
              <w:t xml:space="preserve">Cómo crear el acceso del contador</w:t>
            </w:r>
          </w:p>
          <w:p>
            <w:pPr>
              <w:spacing w:after="50" w:before="0"/>
              <w:jc w:val="left"/>
            </w:pPr>
            <w:r>
              <w:rPr>
                <w:rFonts w:ascii="Arial" w:cs="Arial" w:eastAsia="Arial" w:hAnsi="Arial"/>
                <w:b w:val="false"/>
                <w:bCs w:val="false"/>
                <w:i w:val="false"/>
                <w:iCs w:val="false"/>
                <w:color w:val="1A202C"/>
                <w:sz w:val="18"/>
                <w:szCs w:val="18"/>
              </w:rPr>
              <w:t xml:space="preserve">1. Admin va a /dashboard/usuarios y presiona 'Agregar usuario'</w:t>
            </w:r>
          </w:p>
          <w:p>
            <w:pPr>
              <w:spacing w:after="50" w:before="0"/>
              <w:jc w:val="left"/>
            </w:pPr>
            <w:r>
              <w:rPr>
                <w:rFonts w:ascii="Arial" w:cs="Arial" w:eastAsia="Arial" w:hAnsi="Arial"/>
                <w:b w:val="false"/>
                <w:bCs w:val="false"/>
                <w:i w:val="false"/>
                <w:iCs w:val="false"/>
                <w:color w:val="1A202C"/>
                <w:sz w:val="18"/>
                <w:szCs w:val="18"/>
              </w:rPr>
              <w:t xml:space="preserve">2. Ingresa el email del contador externo</w:t>
            </w:r>
          </w:p>
          <w:p>
            <w:pPr>
              <w:spacing w:after="50" w:before="0"/>
              <w:jc w:val="left"/>
            </w:pPr>
            <w:r>
              <w:rPr>
                <w:rFonts w:ascii="Arial" w:cs="Arial" w:eastAsia="Arial" w:hAnsi="Arial"/>
                <w:b w:val="false"/>
                <w:bCs w:val="false"/>
                <w:i w:val="false"/>
                <w:iCs w:val="false"/>
                <w:color w:val="1A202C"/>
                <w:sz w:val="18"/>
                <w:szCs w:val="18"/>
              </w:rPr>
              <w:t xml:space="preserve">3. Selecciona rol: contador</w:t>
            </w:r>
          </w:p>
          <w:p>
            <w:pPr>
              <w:spacing w:after="50" w:before="0"/>
              <w:jc w:val="left"/>
            </w:pPr>
            <w:r>
              <w:rPr>
                <w:rFonts w:ascii="Arial" w:cs="Arial" w:eastAsia="Arial" w:hAnsi="Arial"/>
                <w:b w:val="false"/>
                <w:bCs w:val="false"/>
                <w:i w:val="false"/>
                <w:iCs w:val="false"/>
                <w:color w:val="1A202C"/>
                <w:sz w:val="18"/>
                <w:szCs w:val="18"/>
              </w:rPr>
              <w:t xml:space="preserve">4. El sistema envía invitación por email con URL del portal fiscal: kinexis.app/contador</w:t>
            </w:r>
          </w:p>
          <w:p>
            <w:pPr>
              <w:spacing w:after="50" w:before="0"/>
              <w:jc w:val="left"/>
            </w:pPr>
            <w:r>
              <w:rPr>
                <w:rFonts w:ascii="Arial" w:cs="Arial" w:eastAsia="Arial" w:hAnsi="Arial"/>
                <w:b w:val="false"/>
                <w:bCs w:val="false"/>
                <w:i w:val="false"/>
                <w:iCs w:val="false"/>
                <w:color w:val="1A202C"/>
                <w:sz w:val="18"/>
                <w:szCs w:val="18"/>
              </w:rPr>
              <w:t xml:space="preserve">5. El contador crea su contraseña y accede solo a la vista fiscal</w:t>
            </w:r>
          </w:p>
          <w:p>
            <w:pPr>
              <w:spacing w:after="50" w:before="0"/>
              <w:jc w:val="left"/>
            </w:pPr>
            <w:r>
              <w:rPr>
                <w:rFonts w:ascii="Arial" w:cs="Arial" w:eastAsia="Arial" w:hAnsi="Arial"/>
                <w:b w:val="false"/>
                <w:bCs w:val="false"/>
                <w:i w:val="false"/>
                <w:iCs w:val="false"/>
                <w:color w:val="1A202C"/>
                <w:sz w:val="18"/>
                <w:szCs w:val="18"/>
              </w:rPr>
              <w:t xml:space="preserve">El RLS de Supabase garantiza que aunque el contador intente acceder a otras rutas de la API, las queries no devuelven datos.</w:t>
            </w:r>
          </w:p>
        </w:tc>
      </w:tr>
    </w:tbl>
    <w:p>
      <w:r>
        <w:br w:type="page"/>
      </w:r>
    </w:p>
    <w:p>
      <w:pPr>
        <w:pStyle w:val="Heading1"/>
        <w:spacing w:after="220" w:before="440"/>
      </w:pPr>
      <w:r>
        <w:rPr>
          <w:rFonts w:ascii="Arial" w:cs="Arial" w:eastAsia="Arial" w:hAnsi="Arial"/>
          <w:b/>
          <w:bCs/>
          <w:i w:val="false"/>
          <w:iCs w:val="false"/>
          <w:color w:val="0A1628"/>
          <w:sz w:val="38"/>
          <w:szCs w:val="38"/>
        </w:rPr>
        <w:t xml:space="preserve">14. PANTALLA: ACTIVACIÓN DE MÓDULOS Y AGENTES</w:t>
      </w:r>
    </w:p>
    <w:p>
      <w:pPr>
        <w:spacing w:after="120" w:before="0"/>
        <w:jc w:val="left"/>
      </w:pPr>
      <w:r>
        <w:rPr>
          <w:rFonts w:ascii="Arial" w:cs="Arial" w:eastAsia="Arial" w:hAnsi="Arial"/>
          <w:b w:val="false"/>
          <w:bCs w:val="false"/>
          <w:i w:val="false"/>
          <w:iCs w:val="false"/>
          <w:color w:val="1A202C"/>
          <w:sz w:val="20"/>
          <w:szCs w:val="20"/>
        </w:rPr>
        <w:t xml:space="preserve">El paso final del onboarding. Todos los módulos inician en modo SUPERVISED — el sistema ejecuta pero las primeras N acciones de cada tipo requieren aprobación explícita antes de pasar a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A3050" w:val="clear"/>
            <w:tcMar>
              <w:top w:type="dxa" w:w="100"/>
              <w:left w:type="dxa" w:w="200"/>
              <w:bottom w:type="dxa" w:w="100"/>
              <w:right w:type="dxa" w:w="200"/>
            </w:tcMar>
          </w:tcPr>
          <w:p>
            <w:pPr>
              <w:spacing w:after="40" w:before="0"/>
              <w:jc w:val="left"/>
            </w:pPr>
            <w:r>
              <w:rPr>
                <w:rFonts w:ascii="Arial" w:cs="Arial" w:eastAsia="Arial" w:hAnsi="Arial"/>
                <w:b w:val="false"/>
                <w:bCs w:val="false"/>
                <w:i w:val="false"/>
                <w:iCs w:val="false"/>
                <w:color w:val="E06C75"/>
                <w:sz w:val="16"/>
                <w:szCs w:val="16"/>
              </w:rPr>
              <w:t xml:space="preserve">●  </w:t>
            </w:r>
            <w:r>
              <w:rPr>
                <w:rFonts w:ascii="Arial" w:cs="Arial" w:eastAsia="Arial" w:hAnsi="Arial"/>
                <w:b w:val="false"/>
                <w:bCs w:val="false"/>
                <w:i w:val="false"/>
                <w:iCs w:val="false"/>
                <w:color w:val="E5C07B"/>
                <w:sz w:val="16"/>
                <w:szCs w:val="16"/>
              </w:rPr>
              <w:t xml:space="preserve">●  </w:t>
            </w:r>
            <w:r>
              <w:rPr>
                <w:rFonts w:ascii="Arial" w:cs="Arial" w:eastAsia="Arial" w:hAnsi="Arial"/>
                <w:b w:val="false"/>
                <w:bCs w:val="false"/>
                <w:i w:val="false"/>
                <w:iCs w:val="false"/>
                <w:color w:val="7BC144"/>
                <w:sz w:val="16"/>
                <w:szCs w:val="16"/>
              </w:rPr>
              <w:t xml:space="preserve">●  </w:t>
            </w:r>
            <w:r>
              <w:rPr>
                <w:rFonts w:ascii="Arial" w:cs="Arial" w:eastAsia="Arial" w:hAnsi="Arial"/>
                <w:b/>
                <w:bCs/>
                <w:i w:val="false"/>
                <w:iCs w:val="false"/>
                <w:color w:val="FFFFFF"/>
                <w:sz w:val="17"/>
                <w:szCs w:val="17"/>
              </w:rPr>
              <w:t xml:space="preserve">   Configuración — Módulos y Agentes</w:t>
            </w:r>
          </w:p>
          <w:p>
            <w:pPr>
              <w:spacing w:after="0" w:before="0"/>
              <w:jc w:val="left"/>
            </w:pPr>
            <w:r>
              <w:rPr>
                <w:rFonts w:ascii="Courier New" w:cs="Courier New" w:eastAsia="Courier New" w:hAnsi="Courier New"/>
                <w:b w:val="false"/>
                <w:bCs w:val="false"/>
                <w:i w:val="false"/>
                <w:iCs w:val="false"/>
                <w:color w:val="718096"/>
                <w:sz w:val="15"/>
                <w:szCs w:val="15"/>
              </w:rPr>
              <w:t xml:space="preserve">↗  kinexis.app/dashboard/config/modulos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718096"/>
                <w:sz w:val="17"/>
                <w:szCs w:val="17"/>
              </w:rPr>
              <w:t xml:space="preserve">Acceso requerido: </w:t>
            </w:r>
            <w:r>
              <w:rPr>
                <w:rFonts w:ascii="Arial" w:cs="Arial" w:eastAsia="Arial" w:hAnsi="Arial"/>
                <w:b/>
                <w:bCs/>
                <w:i w:val="false"/>
                <w:iCs w:val="false"/>
                <w:color w:val="2C7A7B"/>
                <w:sz w:val="17"/>
                <w:szCs w:val="17"/>
              </w:rPr>
              <w:t xml:space="preserve">owner | admin</w:t>
            </w:r>
          </w:p>
        </w:tc>
        <w:tc>
          <w:tcPr>
            <w:tcW w:type="dxa" w:w="2160"/>
            <w:tcBorders>
              <w:top w:val="single" w:color="CBD5E0" w:sz="1"/>
              <w:left w:val="single" w:color="CBD5E0" w:sz="1"/>
              <w:bottom w:val="single" w:color="CBD5E0" w:sz="1"/>
              <w:right w:val="single" w:color="CBD5E0" w:sz="1"/>
            </w:tcBorders>
            <w:shd w:fill="0A1628"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7BC144"/>
                <w:sz w:val="17"/>
                <w:szCs w:val="17"/>
              </w:rPr>
              <w:t xml:space="preserve">●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MÓDULOS PRINCIPALES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E-Commerce Manager</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ML + Amazon + Shopify + Instagram + Price Sync + Catalog + Returns + ADS Managers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Toggle ON/OFF con nivel de autonomía por módulo</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CRM</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Sales B2B + Lead Qualifier + Customer Support + Account Manager + NPS + Crisis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Toggle ON/OFF</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ERP — Operaciones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Inventory + Procurement + Warehouse + Import Logistics + Supplier Relations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Toggle ON/OFF</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CFDI — Facturación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CFDI Billing Agent + Tax Compliance Agent + Finance Agent</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Toggle ON/OFF</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NIVEL DE AUTONOMÍA POR AGENTE (CONFIGURACIÓN GRANULAR)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ML Question Handler</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FULL = responde sin aprobación | SUPERVISED = las primeras 10 respuestas requieren OK del admin</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Select: FULL | SUPERVISED | PAUSED. Default: SUPERVISED</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ML Fulfillment (etiquetas)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NOTIFY = genera etiqueta y notifica a Carlos | SUPERVISED = Carlos aprueba antes de imprimir</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Select: NOTIFY | SUPERVISED. Default: NOTIFY</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Price Sync</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NOTIFY = sincroniza y notifica | SUPERVISED = socias aprueban cada cambio de precio</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Select: NOTIFY | SUPERVISED. Default: SUPERVISED al inicio</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CFDI Billing</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SUPERVISED siempre para producción — el admin puede cambiar a FULL post-validación de 30 días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Select: SUPERVISED | FULL. Default: SUPERVISED</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Procurement (órdenes de compra)</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NOTIFY permanente — las OCs nunca se envían sin aprobación de socias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NOTIFY — no editable (hardcoded en Agent Contract)</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Todos los Ads Managers</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NOTIFY permanente — los presupuestos siempre requieren aprobación de socias para cambios mayores</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NOTIFY con límites de autonomía configurados en Reglas de Negocio</w:t>
            </w:r>
          </w:p>
        </w:tc>
        <w:tc>
          <w:tcPr>
            <w:tcW w:type="dxa" w:w="12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718096"/>
                <w:sz w:val="16"/>
                <w:szCs w:val="16"/>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E2E8F0" w:val="clear"/>
            <w:tcMar>
              <w:top w:type="dxa" w:w="2"/>
              <w:left w:type="dxa" w:w="0"/>
              <w:bottom w:type="dxa" w:w="2"/>
              <w:right w:type="dxa" w:w="0"/>
            </w:tcMar>
          </w:tcPr>
          <w:p>
            <w:pPr>
              <w:spacing w:after="0" w:before="0"/>
              <w:jc w:val="left"/>
            </w:pPr>
            <w:r>
              <w:rPr>
                <w:rFonts w:ascii="Arial" w:cs="Arial" w:eastAsia="Arial" w:hAnsi="Arial"/>
                <w:b w:val="false"/>
                <w:bCs w:val="false"/>
                <w:i w:val="false"/>
                <w:iCs w:val="false"/>
                <w:color w:val="1A202C"/>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112240" w:val="clear"/>
            <w:tcMar>
              <w:top w:type="dxa" w:w="80"/>
              <w:left w:type="dxa" w:w="160"/>
              <w:bottom w:type="dxa" w:w="80"/>
              <w:right w:type="dxa" w:w="160"/>
            </w:tcMar>
          </w:tcPr>
          <w:p>
            <w:pPr>
              <w:spacing w:after="0" w:before="0"/>
              <w:jc w:val="left"/>
            </w:pPr>
            <w:r>
              <w:rPr>
                <w:rFonts w:ascii="Arial" w:cs="Arial" w:eastAsia="Arial" w:hAnsi="Arial"/>
                <w:b/>
                <w:bCs/>
                <w:i w:val="false"/>
                <w:iCs w:val="false"/>
                <w:color w:val="7BC144"/>
                <w:sz w:val="17"/>
                <w:szCs w:val="17"/>
              </w:rPr>
              <w:t xml:space="preserve">PERÍODO DE SUPERVISIÓN INICIAL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Acciones supervisadas antes de pasar a FULL</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Número de acciones que requieren aprobación explícita antes de que el agente pueda operar en modo FULL</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Number por agente. Default: 10 acciones supervisadas</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160"/>
        <w:gridCol w:w="1200"/>
      </w:tblGrid>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bCs/>
                <w:i w:val="false"/>
                <w:iCs w:val="false"/>
                <w:color w:val="112240"/>
                <w:sz w:val="18"/>
                <w:szCs w:val="18"/>
              </w:rPr>
              <w:t xml:space="preserve">Notificaciones de supervisión</w:t>
            </w:r>
          </w:p>
        </w:tc>
        <w:tc>
          <w:tcPr>
            <w:tcW w:type="dxa" w:w="320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A202C"/>
                <w:sz w:val="17"/>
                <w:szCs w:val="17"/>
              </w:rPr>
              <w:t xml:space="preserve">A quién llegan las notificaciones de 'aprobar acción del agente'</w:t>
            </w:r>
          </w:p>
        </w:tc>
        <w:tc>
          <w:tcPr>
            <w:tcW w:type="dxa" w:w="216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pPr>
              <w:spacing w:after="0" w:before="0"/>
              <w:jc w:val="left"/>
            </w:pPr>
            <w:r>
              <w:rPr>
                <w:rFonts w:ascii="Arial" w:cs="Arial" w:eastAsia="Arial" w:hAnsi="Arial"/>
                <w:b w:val="false"/>
                <w:bCs w:val="false"/>
                <w:i/>
                <w:iCs/>
                <w:color w:val="718096"/>
                <w:sz w:val="16"/>
                <w:szCs w:val="16"/>
              </w:rPr>
              <w:t xml:space="preserve">Multi-select usuarios del tenant</w:t>
            </w:r>
          </w:p>
        </w:tc>
        <w:tc>
          <w:tcPr>
            <w:tcW w:type="dxa" w:w="1200"/>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tcPr>
          <w:p>
            <w:pPr>
              <w:spacing w:after="0" w:before="0"/>
              <w:jc w:val="center"/>
            </w:pPr>
            <w:r>
              <w:rPr>
                <w:rFonts w:ascii="Arial" w:cs="Arial" w:eastAsia="Arial" w:hAnsi="Arial"/>
                <w:b/>
                <w:bCs/>
                <w:i w:val="false"/>
                <w:iCs w:val="false"/>
                <w:color w:val="C53030"/>
                <w:sz w:val="16"/>
                <w:szCs w:val="16"/>
              </w:rPr>
              <w:t xml:space="preserve">REQUERIDO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val="false"/>
        </w:trPr>
        <w:tc>
          <w:tcPr>
            <w:tcW w:type="dxa" w:w="7200"/>
            <w:tcBorders>
              <w:top w:val="single" w:color="CBD5E0" w:sz="1"/>
              <w:left w:val="single" w:color="CBD5E0" w:sz="1"/>
              <w:bottom w:val="single" w:color="CBD5E0" w:sz="1"/>
              <w:right w:val="single" w:color="CBD5E0" w:sz="1"/>
            </w:tcBorders>
            <w:shd w:fill="F4F6F9" w:val="clear"/>
            <w:tcMar>
              <w:top w:type="dxa" w:w="80"/>
              <w:left w:type="dxa" w:w="160"/>
              <w:bottom w:type="dxa" w:w="80"/>
              <w:right w:type="dxa" w:w="160"/>
            </w:tcMar>
          </w:tcPr>
          <w:p>
            <w:pPr>
              <w:spacing w:after="0" w:before="0"/>
              <w:jc w:val="left"/>
            </w:pPr>
            <w:r>
              <w:rPr>
                <w:rFonts w:ascii="Arial" w:cs="Arial" w:eastAsia="Arial" w:hAnsi="Arial"/>
                <w:b w:val="false"/>
                <w:bCs w:val="false"/>
                <w:i/>
                <w:iCs/>
                <w:color w:val="718096"/>
                <w:sz w:val="16"/>
                <w:szCs w:val="16"/>
              </w:rPr>
              <w:t xml:space="preserve">⚡ El sistema valida y prueba la conexión antes de guardar</w:t>
            </w:r>
          </w:p>
        </w:tc>
        <w:tc>
          <w:tcPr>
            <w:tcW w:type="dxa" w:w="2160"/>
            <w:tcBorders>
              <w:top w:val="single" w:color="CBD5E0" w:sz="1"/>
              <w:left w:val="single" w:color="CBD5E0" w:sz="1"/>
              <w:bottom w:val="single" w:color="CBD5E0" w:sz="1"/>
              <w:right w:val="single" w:color="CBD5E0" w:sz="1"/>
            </w:tcBorders>
            <w:shd w:fill="7BC144" w:val="clear"/>
            <w:tcMar>
              <w:top w:type="dxa" w:w="80"/>
              <w:left w:type="dxa" w:w="160"/>
              <w:bottom w:type="dxa" w:w="80"/>
              <w:right w:type="dxa" w:w="160"/>
            </w:tcMar>
          </w:tcPr>
          <w:p>
            <w:pPr>
              <w:spacing w:after="0" w:before="0"/>
              <w:jc w:val="center"/>
            </w:pPr>
            <w:r>
              <w:rPr>
                <w:rFonts w:ascii="Arial" w:cs="Arial" w:eastAsia="Arial" w:hAnsi="Arial"/>
                <w:b/>
                <w:bCs/>
                <w:i w:val="false"/>
                <w:iCs w:val="false"/>
                <w:color w:val="FFFFFF"/>
                <w:sz w:val="17"/>
                <w:szCs w:val="17"/>
              </w:rPr>
              <w:t xml:space="preserve">[ Guardar y Probar ]</w:t>
            </w:r>
          </w:p>
        </w:tc>
      </w:tr>
    </w:tbl>
    <w:p>
      <w:pPr>
        <w:spacing w:after="0"/>
      </w:pPr>
      <w:r>
        <w:t xml:space="preserve"/>
      </w:r>
    </w:p>
    <w:p>
      <w:r>
        <w:br w:type="page"/>
      </w:r>
    </w:p>
    <w:p>
      <w:pPr>
        <w:pStyle w:val="Heading1"/>
        <w:spacing w:after="220" w:before="440"/>
      </w:pPr>
      <w:r>
        <w:rPr>
          <w:rFonts w:ascii="Arial" w:cs="Arial" w:eastAsia="Arial" w:hAnsi="Arial"/>
          <w:b/>
          <w:bCs/>
          <w:i w:val="false"/>
          <w:iCs w:val="false"/>
          <w:color w:val="0A1628"/>
          <w:sz w:val="38"/>
          <w:szCs w:val="38"/>
        </w:rPr>
        <w:t xml:space="preserve">15. GESTIÓN POST-ONBOARDING — MODIFICAR CONFIGURACIÓN</w:t>
      </w:r>
    </w:p>
    <w:p>
      <w:pPr>
        <w:spacing w:after="120" w:before="0"/>
        <w:jc w:val="left"/>
      </w:pPr>
      <w:r>
        <w:rPr>
          <w:rFonts w:ascii="Arial" w:cs="Arial" w:eastAsia="Arial" w:hAnsi="Arial"/>
          <w:b w:val="false"/>
          <w:bCs w:val="false"/>
          <w:i w:val="false"/>
          <w:iCs w:val="false"/>
          <w:color w:val="1A202C"/>
          <w:sz w:val="20"/>
          <w:szCs w:val="20"/>
        </w:rPr>
        <w:t xml:space="preserve">Una vez que el sistema está funcionando, estas son las operaciones de configuración más frecuentes y cómo hacerlas desde el dashboard.</w:t>
      </w:r>
    </w:p>
    <w:p>
      <w:pPr>
        <w:spacing w:after="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800"/>
        <w:gridCol w:w="2360"/>
      </w:tblGrid>
      <w:tr>
        <w:trPr>
          <w:tblHeader/>
        </w:trPr>
        <w:tc>
          <w:tcPr>
            <w:tcW w:type="dxa" w:w="32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Operación</w:t>
            </w:r>
          </w:p>
        </w:tc>
        <w:tc>
          <w:tcPr>
            <w:tcW w:type="dxa" w:w="24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Pantalla</w:t>
            </w:r>
          </w:p>
        </w:tc>
        <w:tc>
          <w:tcPr>
            <w:tcW w:type="dxa" w:w="18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Tiempo estimado</w:t>
            </w:r>
          </w:p>
        </w:tc>
        <w:tc>
          <w:tcPr>
            <w:tcW w:type="dxa" w:w="23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Quién puede hacerlo</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Renovar token expirado de ML (automático en mayoría de casos)</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Integraciones → ML</w:t>
            </w:r>
          </w:p>
        </w:tc>
        <w:tc>
          <w:tcPr>
            <w:tcW w:type="dxa" w:w="1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&lt;2 min</w:t>
            </w:r>
          </w:p>
        </w:tc>
        <w:tc>
          <w:tcPr>
            <w:tcW w:type="dxa" w:w="2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El sistema lo hace automáticamente. Si falla, admin sigue el flujo OAuth de nuevo</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Agregar nuevo SKU al catálogo</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Catálogo → Agregar producto</w:t>
            </w:r>
          </w:p>
        </w:tc>
        <w:tc>
          <w:tcPr>
            <w:tcW w:type="dxa" w:w="1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5 min por SKU (o carga masiva)</w:t>
            </w:r>
          </w:p>
        </w:tc>
        <w:tc>
          <w:tcPr>
            <w:tcW w:type="dxa" w:w="2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owner | admin</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Subir actualización de inventario desde Excel</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Catálogo → Importar inventario</w:t>
            </w:r>
          </w:p>
        </w:tc>
        <w:tc>
          <w:tcPr>
            <w:tcW w:type="dxa" w:w="1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2-3 min</w:t>
            </w:r>
          </w:p>
        </w:tc>
        <w:tc>
          <w:tcPr>
            <w:tcW w:type="dxa" w:w="2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owner | admin | warehouse</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Cambiar margen mínimo de venta en ML</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Reglas de Negocio → Márgenes</w:t>
            </w:r>
          </w:p>
        </w:tc>
        <w:tc>
          <w:tcPr>
            <w:tcW w:type="dxa" w:w="1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&lt;1 min (efecto inmediato en Validation Agent #26)</w:t>
            </w:r>
          </w:p>
        </w:tc>
        <w:tc>
          <w:tcPr>
            <w:tcW w:type="dxa" w:w="2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owner | admin</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Agregar proveedor aprobado</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Proveedores → Nuevo proveedor</w:t>
            </w:r>
          </w:p>
        </w:tc>
        <w:tc>
          <w:tcPr>
            <w:tcW w:type="dxa" w:w="1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5 min</w:t>
            </w:r>
          </w:p>
        </w:tc>
        <w:tc>
          <w:tcPr>
            <w:tcW w:type="dxa" w:w="2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owner | admin</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Cambiar IP de la impresora térmica</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Almacén → Impresora</w:t>
            </w:r>
          </w:p>
        </w:tc>
        <w:tc>
          <w:tcPr>
            <w:tcW w:type="dxa" w:w="1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 min (incluye test de impresión)</w:t>
            </w:r>
          </w:p>
        </w:tc>
        <w:tc>
          <w:tcPr>
            <w:tcW w:type="dxa" w:w="2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owner | admin</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Actualizar API key de Facturapi</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CFDI → API Key</w:t>
            </w:r>
          </w:p>
        </w:tc>
        <w:tc>
          <w:tcPr>
            <w:tcW w:type="dxa" w:w="1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 min (test automático antes de guardar)</w:t>
            </w:r>
          </w:p>
        </w:tc>
        <w:tc>
          <w:tcPr>
            <w:tcW w:type="dxa" w:w="2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owner | admin</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Desactivar un agente temporalmente</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Módulos → toggle del agente</w:t>
            </w:r>
          </w:p>
        </w:tc>
        <w:tc>
          <w:tcPr>
            <w:tcW w:type="dxa" w:w="1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&lt;1 min</w:t>
            </w:r>
          </w:p>
        </w:tc>
        <w:tc>
          <w:tcPr>
            <w:tcW w:type="dxa" w:w="2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owner | admin</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Dar acceso al contador externo</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Usuarios → Agregar usuario → rol contador</w:t>
            </w:r>
          </w:p>
        </w:tc>
        <w:tc>
          <w:tcPr>
            <w:tcW w:type="dxa" w:w="1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2 min</w:t>
            </w:r>
          </w:p>
        </w:tc>
        <w:tc>
          <w:tcPr>
            <w:tcW w:type="dxa" w:w="2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owner</w:t>
            </w:r>
          </w:p>
        </w:tc>
      </w:tr>
      <w:tr>
        <w:trPr>
          <w:tblHeader w:val="false"/>
        </w:trPr>
        <w:tc>
          <w:tcPr>
            <w:tcW w:type="dxa" w:w="32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Actualizar WhatsApp de Carlos</w:t>
            </w:r>
          </w:p>
        </w:tc>
        <w:tc>
          <w:tcPr>
            <w:tcW w:type="dxa" w:w="24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Almacén → WhatsApp almacenista</w:t>
            </w:r>
          </w:p>
        </w:tc>
        <w:tc>
          <w:tcPr>
            <w:tcW w:type="dxa" w:w="1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&lt;1 min</w:t>
            </w:r>
          </w:p>
        </w:tc>
        <w:tc>
          <w:tcPr>
            <w:tcW w:type="dxa" w:w="23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owner | admin</w:t>
            </w:r>
          </w:p>
        </w:tc>
      </w:tr>
      <w:tr>
        <w:trPr>
          <w:tblHeader w:val="false"/>
        </w:trPr>
        <w:tc>
          <w:tcPr>
            <w:tcW w:type="dxa" w:w="32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Ver historial de cambios de configuración</w:t>
            </w:r>
          </w:p>
        </w:tc>
        <w:tc>
          <w:tcPr>
            <w:tcW w:type="dxa" w:w="24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Configuración → Auditoría</w:t>
            </w:r>
          </w:p>
        </w:tc>
        <w:tc>
          <w:tcPr>
            <w:tcW w:type="dxa" w:w="1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Solo lectura</w:t>
            </w:r>
          </w:p>
        </w:tc>
        <w:tc>
          <w:tcPr>
            <w:tcW w:type="dxa" w:w="23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owner | admin</w:t>
            </w:r>
          </w:p>
        </w:tc>
      </w:tr>
    </w:tbl>
    <w:p>
      <w:r>
        <w:br w:type="page"/>
      </w:r>
    </w:p>
    <w:p>
      <w:pPr>
        <w:pStyle w:val="Heading1"/>
        <w:spacing w:after="220" w:before="440"/>
      </w:pPr>
      <w:r>
        <w:rPr>
          <w:rFonts w:ascii="Arial" w:cs="Arial" w:eastAsia="Arial" w:hAnsi="Arial"/>
          <w:b/>
          <w:bCs/>
          <w:i w:val="false"/>
          <w:iCs w:val="false"/>
          <w:color w:val="0A1628"/>
          <w:sz w:val="38"/>
          <w:szCs w:val="38"/>
        </w:rPr>
        <w:t xml:space="preserve">16. TROUBLESHOOTING — ERRORES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Error en el dashboard</w:t>
            </w:r>
          </w:p>
        </w:tc>
        <w:tc>
          <w:tcPr>
            <w:tcW w:type="dxa" w:w="260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Causa probable</w:t>
            </w:r>
          </w:p>
        </w:tc>
        <w:tc>
          <w:tcPr>
            <w:tcW w:type="dxa" w:w="3960"/>
            <w:tcBorders>
              <w:top w:val="single" w:color="CBD5E0" w:sz="1"/>
              <w:left w:val="single" w:color="CBD5E0" w:sz="1"/>
              <w:bottom w:val="single" w:color="CBD5E0" w:sz="1"/>
              <w:right w:val="single" w:color="CBD5E0" w:sz="1"/>
            </w:tcBorders>
            <w:shd w:fill="0A1628" w:val="clear"/>
            <w:tcMar>
              <w:top w:type="dxa" w:w="110"/>
              <w:left w:type="dxa" w:w="150"/>
              <w:bottom w:type="dxa" w:w="110"/>
              <w:right w:type="dxa" w:w="150"/>
            </w:tcMar>
            <w:vAlign w:val="center"/>
          </w:tcPr>
          <w:p>
            <w:pPr>
              <w:spacing w:after="0" w:before="0"/>
              <w:jc w:val="center"/>
            </w:pPr>
            <w:r>
              <w:rPr>
                <w:rFonts w:ascii="Arial" w:cs="Arial" w:eastAsia="Arial" w:hAnsi="Arial"/>
                <w:b/>
                <w:bCs/>
                <w:i w:val="false"/>
                <w:iCs w:val="false"/>
                <w:color w:val="FFFFFF"/>
                <w:sz w:val="18"/>
                <w:szCs w:val="18"/>
              </w:rPr>
              <w:t xml:space="preserve">Solución</w:t>
            </w:r>
          </w:p>
        </w:tc>
      </w:tr>
      <w:tr>
        <w:trPr>
          <w:tblHeader w:val="false"/>
        </w:trPr>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 Rojo — 'ML desconectado'</w:t>
            </w:r>
          </w:p>
        </w:tc>
        <w:tc>
          <w:tcPr>
            <w:tcW w:type="dxa" w:w="2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Token de ML expiró (los tokens de ML duran 6 horas)</w:t>
            </w:r>
          </w:p>
        </w:tc>
        <w:tc>
          <w:tcPr>
            <w:tcW w:type="dxa" w:w="39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Integraciones → ML → volver a hacer el flujo OAuth. El sistema renueva automáticamente con el refresh_token, pero si el refresh también expiró hay que re-autorizar</w:t>
            </w:r>
          </w:p>
        </w:tc>
      </w:tr>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 Naranja — 'WhatsApp pendiente'</w:t>
            </w:r>
          </w:p>
        </w:tc>
        <w:tc>
          <w:tcPr>
            <w:tcW w:type="dxa" w:w="2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El número de WhatsApp no ha sido aprobado por Meta</w:t>
            </w:r>
          </w:p>
        </w:tc>
        <w:tc>
          <w:tcPr>
            <w:tcW w:type="dxa" w:w="39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Entrar al dashboard de Meta Business → WhatsApp Manager → completar el proceso de verificación del número</w:t>
            </w:r>
          </w:p>
        </w:tc>
      </w:tr>
      <w:tr>
        <w:trPr>
          <w:tblHeader w:val="false"/>
        </w:trPr>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Error: 'RFC inválido' al guardar</w:t>
            </w:r>
          </w:p>
        </w:tc>
        <w:tc>
          <w:tcPr>
            <w:tcW w:type="dxa" w:w="2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El RFC no cumple el formato del SAT</w:t>
            </w:r>
          </w:p>
        </w:tc>
        <w:tc>
          <w:tcPr>
            <w:tcW w:type="dxa" w:w="39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Verificar que sea exactamente 12 caracteres (4 letras + 6 dígitos + 2 alfanuméricos) para personas morales</w:t>
            </w:r>
          </w:p>
        </w:tc>
      </w:tr>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Error: 'Facturapi API key inválida'</w:t>
            </w:r>
          </w:p>
        </w:tc>
        <w:tc>
          <w:tcPr>
            <w:tcW w:type="dxa" w:w="2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La API key no tiene permisos suficientes o es del ambiente equivocado</w:t>
            </w:r>
          </w:p>
        </w:tc>
        <w:tc>
          <w:tcPr>
            <w:tcW w:type="dxa" w:w="39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En Facturapi dashboard: verificar que sea la key de Producción (no sandbox) y que la organización esté completamente configurada</w:t>
            </w:r>
          </w:p>
        </w:tc>
      </w:tr>
      <w:tr>
        <w:trPr>
          <w:tblHeader w:val="false"/>
        </w:trPr>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Impresora no imprime al presionar botón</w:t>
            </w:r>
          </w:p>
        </w:tc>
        <w:tc>
          <w:tcPr>
            <w:tcW w:type="dxa" w:w="2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IP incorrecta o impresora apagada/desconectada</w:t>
            </w:r>
          </w:p>
        </w:tc>
        <w:tc>
          <w:tcPr>
            <w:tcW w:type="dxa" w:w="39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Verificar IP en la configuración, que la impresora esté encendida y conectada a la misma red que el servidor</w:t>
            </w:r>
          </w:p>
        </w:tc>
      </w:tr>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Productos importados con clave SAT vacía</w:t>
            </w:r>
          </w:p>
        </w:tc>
        <w:tc>
          <w:tcPr>
            <w:tcW w:type="dxa" w:w="2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El Excel de Aspel SAE no tenía columna de clave SAT</w:t>
            </w:r>
          </w:p>
        </w:tc>
        <w:tc>
          <w:tcPr>
            <w:tcW w:type="dxa" w:w="39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Normal — los productos se importan y después se asignan las claves SAT manualmente en Catálogo → Editar producto</w:t>
            </w:r>
          </w:p>
        </w:tc>
      </w:tr>
      <w:tr>
        <w:trPr>
          <w:tblHeader w:val="false"/>
        </w:trPr>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'Validation Agent rechazó el precio'</w:t>
            </w:r>
          </w:p>
        </w:tc>
        <w:tc>
          <w:tcPr>
            <w:tcW w:type="dxa" w:w="2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El precio calculado está por debajo del margen mínimo configurado</w:t>
            </w:r>
          </w:p>
        </w:tc>
        <w:tc>
          <w:tcPr>
            <w:tcW w:type="dxa" w:w="39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Revisar el costo del producto en Catálogo y los márgenes en Reglas de Negocio. Si el margen es correcto, el costo puede estar desactualizado</w:t>
            </w:r>
          </w:p>
        </w:tc>
      </w:tr>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Carlos no recibe el WhatsApp de las 8am</w:t>
            </w:r>
          </w:p>
        </w:tc>
        <w:tc>
          <w:tcPr>
            <w:tcW w:type="dxa" w:w="2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Número incorrecto o WhatsApp Business API con límite de conversaciones</w:t>
            </w:r>
          </w:p>
        </w:tc>
        <w:tc>
          <w:tcPr>
            <w:tcW w:type="dxa" w:w="39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Verificar el número en Almacén → WhatsApp almacenista. Si el número es correcto, revisar el log de WhatsApp en Métricas</w:t>
            </w:r>
          </w:p>
        </w:tc>
      </w:tr>
      <w:tr>
        <w:trPr>
          <w:tblHeader w:val="false"/>
        </w:trPr>
        <w:tc>
          <w:tcPr>
            <w:tcW w:type="dxa" w:w="28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CFDI en status ERROR_PAC</w:t>
            </w:r>
          </w:p>
        </w:tc>
        <w:tc>
          <w:tcPr>
            <w:tcW w:type="dxa" w:w="260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Facturapi no pudo timbrar ante el SAT (error del PAC)</w:t>
            </w:r>
          </w:p>
        </w:tc>
        <w:tc>
          <w:tcPr>
            <w:tcW w:type="dxa" w:w="3960"/>
            <w:tcBorders>
              <w:top w:val="single" w:color="CBD5E0" w:sz="1"/>
              <w:left w:val="single" w:color="CBD5E0" w:sz="1"/>
              <w:bottom w:val="single" w:color="CBD5E0" w:sz="1"/>
              <w:right w:val="single" w:color="CBD5E0" w:sz="1"/>
            </w:tcBorders>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Ver el error_code en la tabla cfdi_records. Los más comunes: CFDI40-0123 (RFC inválido), CFDI40-0156 (CP incorrecto). El agente reintentará automáticamente 3 veces</w:t>
            </w:r>
          </w:p>
        </w:tc>
      </w:tr>
      <w:tr>
        <w:trPr>
          <w:tblHeader w:val="false"/>
        </w:trPr>
        <w:tc>
          <w:tcPr>
            <w:tcW w:type="dxa" w:w="28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OC enviada sin aprobación de socias</w:t>
            </w:r>
          </w:p>
        </w:tc>
        <w:tc>
          <w:tcPr>
            <w:tcW w:type="dxa" w:w="260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Bug crítico — NO debería ocurrir nunca</w:t>
            </w:r>
          </w:p>
        </w:tc>
        <w:tc>
          <w:tcPr>
            <w:tcW w:type="dxa" w:w="3960"/>
            <w:tcBorders>
              <w:top w:val="single" w:color="CBD5E0" w:sz="1"/>
              <w:left w:val="single" w:color="CBD5E0" w:sz="1"/>
              <w:bottom w:val="single" w:color="CBD5E0" w:sz="1"/>
              <w:right w:val="single" w:color="CBD5E0" w:sz="1"/>
            </w:tcBorders>
            <w:shd w:fill="F4F6F9" w:val="clear"/>
            <w:tcMar>
              <w:top w:type="dxa" w:w="90"/>
              <w:left w:type="dxa" w:w="150"/>
              <w:bottom w:type="dxa" w:w="90"/>
              <w:right w:type="dxa" w:w="150"/>
            </w:tcMar>
            <w:vAlign w:val="center"/>
          </w:tcPr>
          <w:p>
            <w:pPr>
              <w:spacing w:after="0" w:before="0"/>
              <w:jc w:val="left"/>
            </w:pPr>
            <w:r>
              <w:rPr>
                <w:rFonts w:ascii="Arial" w:cs="Arial" w:eastAsia="Arial" w:hAnsi="Arial"/>
                <w:b w:val="false"/>
                <w:bCs w:val="false"/>
                <w:i w:val="false"/>
                <w:iCs w:val="false"/>
                <w:color w:val="1A202C"/>
                <w:sz w:val="19"/>
                <w:szCs w:val="19"/>
              </w:rPr>
              <w:t xml:space="preserve">Reportar INMEDIATAMENTE a Atollom Labs. El Validation Agent #26 debe haber bloqueado esto. Revisar el validation_logs</w:t>
            </w:r>
          </w:p>
        </w:tc>
      </w:tr>
    </w:tbl>
    <w:p>
      <w:pPr>
        <w:spacing w:after="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none" w:color="FFFFFF" w:sz="0"/>
              <w:left w:val="none" w:color="FFFFFF" w:sz="0"/>
              <w:bottom w:val="none" w:color="FFFFFF" w:sz="0"/>
              <w:right w:val="none" w:color="FFFFFF" w:sz="0"/>
            </w:tcBorders>
            <w:shd w:fill="0A1628" w:val="clear"/>
            <w:tcMar>
              <w:top w:type="dxa" w:w="200"/>
              <w:left w:type="dxa" w:w="300"/>
              <w:bottom w:type="dxa" w:w="200"/>
              <w:right w:type="dxa" w:w="300"/>
            </w:tcMar>
          </w:tcPr>
          <w:p>
            <w:pPr>
              <w:spacing w:after="60" w:before="0"/>
              <w:jc w:val="center"/>
            </w:pPr>
            <w:r>
              <w:rPr>
                <w:rFonts w:ascii="Arial" w:cs="Arial" w:eastAsia="Arial" w:hAnsi="Arial"/>
                <w:b/>
                <w:bCs/>
                <w:i w:val="false"/>
                <w:iCs w:val="false"/>
                <w:color w:val="7BC144"/>
                <w:sz w:val="20"/>
                <w:szCs w:val="20"/>
              </w:rPr>
              <w:t xml:space="preserve">KINEXIS — Integration Agent: Guía de Configuración</w:t>
            </w:r>
          </w:p>
          <w:p>
            <w:pPr>
              <w:spacing w:after="60" w:before="0"/>
              <w:jc w:val="center"/>
            </w:pPr>
            <w:r>
              <w:rPr>
                <w:rFonts w:ascii="Arial" w:cs="Arial" w:eastAsia="Arial" w:hAnsi="Arial"/>
                <w:b w:val="false"/>
                <w:bCs w:val="false"/>
                <w:i w:val="false"/>
                <w:iCs w:val="false"/>
                <w:color w:val="FFFFFF"/>
                <w:sz w:val="17"/>
                <w:szCs w:val="17"/>
              </w:rPr>
              <w:t xml:space="preserve">Anexo Técnico v1.0 | Atollom Labs | Abril 2026</w:t>
            </w:r>
          </w:p>
          <w:p>
            <w:pPr>
              <w:spacing w:after="0" w:before="0"/>
              <w:jc w:val="center"/>
            </w:pPr>
            <w:r>
              <w:rPr>
                <w:rFonts w:ascii="Arial" w:cs="Arial" w:eastAsia="Arial" w:hAnsi="Arial"/>
                <w:b w:val="false"/>
                <w:bCs w:val="false"/>
                <w:i/>
                <w:iCs/>
                <w:color w:val="E2E8F0"/>
                <w:sz w:val="15"/>
                <w:szCs w:val="15"/>
              </w:rPr>
              <w:t xml:space="preserve">Para instaladores, administradores y agentes IA | CONFIDENCIAL</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00"/>
      <w:gridCol w:w="3880"/>
    </w:tblGrid>
    <w:tr>
      <w:trPr>
        <w:tblHeader w:val="false"/>
      </w:trPr>
      <w:tc>
        <w:tcPr>
          <w:tcW w:type="dxa" w:w="62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left"/>
          </w:pPr>
          <w:r>
            <w:rPr>
              <w:rFonts w:ascii="Arial" w:cs="Arial" w:eastAsia="Arial" w:hAnsi="Arial"/>
              <w:b/>
              <w:bCs/>
              <w:i w:val="false"/>
              <w:iCs w:val="false"/>
              <w:color w:val="112240"/>
              <w:sz w:val="16"/>
              <w:szCs w:val="16"/>
            </w:rPr>
            <w:t xml:space="preserve">KINEXIS — Integration Agent: Guía de Configuración | ANEXO TÉCNICO</w:t>
          </w:r>
        </w:p>
      </w:tc>
      <w:tc>
        <w:tcPr>
          <w:tcW w:type="dxa" w:w="38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right"/>
          </w:pPr>
          <w:r>
            <w:rPr>
              <w:rFonts w:ascii="Arial" w:cs="Arial" w:eastAsia="Arial" w:hAnsi="Arial"/>
              <w:b w:val="false"/>
              <w:bCs w:val="false"/>
              <w:i w:val="false"/>
              <w:iCs w:val="false"/>
              <w:color w:val="718096"/>
              <w:sz w:val="16"/>
              <w:szCs w:val="16"/>
            </w:rPr>
            <w:t xml:space="preserve">Atollom Labs | Pág. </w:t>
          </w:r>
          <w:fldSimple w:instr="PAGE"/>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Arial" w:cs="Arial" w:eastAsia="Arial" w:hAnsi="Arial"/>
      <w:b/>
      <w:bCs/>
      <w:color w:val="0A1628"/>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112240"/>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C7A7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a0eedfd845ce124ceaa7319770ac4658e116e40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2026-04-10T18:50:01.787Z</dcterms:created>
  <dcterms:modified xsi:type="dcterms:W3CDTF">2026-04-10T18:50:01.789Z</dcterms:modified>
</cp:coreProperties>
</file>

<file path=docProps/custom.xml><?xml version="1.0" encoding="utf-8"?>
<Properties xmlns="http://schemas.openxmlformats.org/officeDocument/2006/custom-properties" xmlns:vt="http://schemas.openxmlformats.org/officeDocument/2006/docPropsVTypes"/>
</file>