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Execution Update</w:t>
      </w:r>
    </w:p>
    <w:p>
      <w:pPr>
        <w:jc w:val="center"/>
      </w:pPr>
      <w:r>
        <w:rPr>
          <w:sz w:val="32"/>
        </w:rPr>
        <w:t>Pre-Launch Quality &amp; Execution Guidelines</w:t>
      </w:r>
    </w:p>
    <w:p>
      <w:r>
        <w:br/>
      </w:r>
    </w:p>
    <w:p>
      <w:pPr>
        <w:jc w:val="center"/>
      </w:pPr>
      <w:r>
        <w:rPr>
          <w:i/>
        </w:rPr>
        <w:t>— Internal Team Document —</w:t>
      </w:r>
    </w:p>
    <w:p>
      <w:r>
        <w:br/>
        <w:br/>
      </w:r>
    </w:p>
    <w:p>
      <w:pPr>
        <w:jc w:val="center"/>
      </w:pPr>
      <w:r>
        <w:rPr>
          <w:sz w:val="24"/>
        </w:rPr>
        <w:t>This document outlines the updated execution model for the project.</w:t>
        <w:br/>
        <w:br/>
        <w:t>Focus:</w:t>
        <w:br/>
        <w:t>- Proactive issue discovery</w:t>
        <w:br/>
        <w:t>- Actionable improvements</w:t>
        <w:br/>
        <w:t>- Pre-launch quality readiness</w:t>
        <w:br/>
        <w:br/>
        <w:t>All team members are expected to align with the updated working model.</w:t>
      </w:r>
    </w:p>
    <w:p>
      <w:pPr>
        <w:jc w:val="center"/>
      </w:pPr>
      <w:r>
        <w:br/>
        <w:br/>
        <w:t>Project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