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320"/>
      </w:pPr>
    </w:p>
    <w:p>
      <w:pPr>
        <w:spacing w:after="280"/>
        <w:jc w:val="center"/>
      </w:pPr>
      <w:r>
        <w:rPr>
          <w:rFonts w:ascii="Calibri" w:hAnsi="Calibri"/>
          <w:b/>
          <w:color w:val="B07A14"/>
          <w:sz w:val="22"/>
        </w:rPr>
        <w:t>PROPUESTA TÉCNICA</w:t>
      </w:r>
    </w:p>
    <w:p>
      <w:pPr>
        <w:spacing w:after="200"/>
        <w:jc w:val="center"/>
      </w:pPr>
      <w:r>
        <w:rPr>
          <w:rFonts w:ascii="Calibri" w:hAnsi="Calibri"/>
          <w:b/>
          <w:color w:val="203548"/>
          <w:sz w:val="54"/>
        </w:rPr>
        <w:t>Sistema RAG de avisos meteorológicos</w:t>
        <w:br/>
        <w:t>e incendios forestales en España</w:t>
      </w:r>
    </w:p>
    <w:p>
      <w:pPr>
        <w:spacing w:after="560"/>
        <w:jc w:val="center"/>
      </w:pPr>
      <w:r>
        <w:rPr>
          <w:rFonts w:ascii="Calibri" w:hAnsi="Calibri"/>
          <w:color w:val="1F4D78"/>
          <w:sz w:val="28"/>
        </w:rPr>
        <w:t>Fuentes de información, conexiones, arquitectura de ingesta,</w:t>
        <w:br/>
        <w:t>estrategia de scraping y plan de implementación</w:t>
      </w:r>
    </w:p>
    <w:p>
      <w:pPr>
        <w:spacing w:before="800" w:after="80"/>
        <w:jc w:val="center"/>
      </w:pPr>
      <w:r>
        <w:rPr>
          <w:rFonts w:ascii="Calibri" w:hAnsi="Calibri"/>
          <w:b/>
          <w:color w:val="5F6B76"/>
          <w:sz w:val="22"/>
        </w:rPr>
        <w:t>Trabajo Fin de Máster · Aplicación de detección de incendios</w:t>
      </w:r>
    </w:p>
    <w:p>
      <w:pPr>
        <w:jc w:val="center"/>
      </w:pPr>
      <w:r>
        <w:rPr>
          <w:rFonts w:ascii="Calibri" w:hAnsi="Calibri"/>
          <w:color w:val="5F6B76"/>
          <w:sz w:val="22"/>
        </w:rPr>
        <w:t>6 de julio de 2026</w:t>
      </w:r>
    </w:p>
    <w:p>
      <w:r>
        <w:br w:type="page"/>
      </w:r>
    </w:p>
    <w:p>
      <w:pPr>
        <w:pStyle w:val="Heading1"/>
      </w:pPr>
      <w:r>
        <w:t>1. Resumen ejecutivo</w:t>
      </w:r>
    </w:p>
    <w:p>
      <w:r>
        <w:t>El objetivo es incorporar a la aplicación de detección de incendios un sistema de generación aumentada por recuperación (RAG) capaz de responder con contexto reciente sobre avisos meteorológicos, riesgo de incendio y evolución de incendios forestales en España. El sistema no sustituirá a los organismos de emergencias: actuará como una capa informativa trazable que enlaza cada afirmación con su fuente y momento de actualización.</w:t>
      </w:r>
    </w:p>
    <w:p>
      <w:pPr>
        <w:spacing w:before="80" w:after="200" w:line="264" w:lineRule="auto"/>
        <w:ind w:left="230" w:right="115"/>
        <w:shd w:fill="EEF5FB"/>
        <w:pBdr>
          <w:left w:val="single" w:sz="18" w:space="6" w:color="2E74B5"/>
        </w:pBdr>
      </w:pPr>
      <w:r>
        <w:rPr>
          <w:rFonts w:ascii="Calibri" w:hAnsi="Calibri"/>
          <w:b/>
          <w:color w:val="1F4D78"/>
          <w:sz w:val="22"/>
        </w:rPr>
        <w:t xml:space="preserve">Recomendación principal. </w:t>
      </w:r>
      <w:r>
        <w:rPr>
          <w:rFonts w:ascii="Calibri" w:hAnsi="Calibri"/>
          <w:color w:val="203548"/>
          <w:sz w:val="22"/>
        </w:rPr>
        <w:t>Construir una ingesta híbrida. Los avisos oficiales se consultan mediante API, CAP, RSS, CSV o servicios GIS; las noticias se descubren por RSS y se extraen de forma incremental; los foros se mantienen en un índice separado de baja confianza. Un batch exclusivamente diario no es suficiente para información operativa.</w:t>
      </w:r>
    </w:p>
    <w:p>
      <w:pPr>
        <w:pStyle w:val="ListBullet"/>
        <w:spacing w:after="80" w:line="264" w:lineRule="auto"/>
      </w:pPr>
      <w:r>
        <w:t>Priorizar API y formatos estructurados antes que scraping.</w:t>
      </w:r>
    </w:p>
    <w:p>
      <w:pPr>
        <w:pStyle w:val="ListBullet"/>
        <w:spacing w:after="80" w:line="264" w:lineRule="auto"/>
      </w:pPr>
      <w:r>
        <w:t>Separar documentos —noticias, avisos y comunicados— de los eventos reales.</w:t>
      </w:r>
    </w:p>
    <w:p>
      <w:pPr>
        <w:pStyle w:val="ListBullet"/>
        <w:spacing w:after="80" w:line="264" w:lineRule="auto"/>
      </w:pPr>
      <w:r>
        <w:t>Aplicar filtros geográficos, temporales y de confianza en cada consulta.</w:t>
      </w:r>
    </w:p>
    <w:p>
      <w:pPr>
        <w:pStyle w:val="ListBullet"/>
        <w:spacing w:after="80" w:line="264" w:lineRule="auto"/>
      </w:pPr>
      <w:r>
        <w:t>Responder siempre con URL, fuente y fecha de actualización.</w:t>
      </w:r>
    </w:p>
    <w:p>
      <w:pPr>
        <w:pStyle w:val="Heading1"/>
      </w:pPr>
      <w:r>
        <w:t>2. Contexto, alcance y objetivos</w:t>
      </w:r>
    </w:p>
    <w:p>
      <w:r>
        <w:t>El proyecto se desarrolla en el contexto de un Trabajo Fin de Máster centrado en una aplicación de detección de incendios. El RAG propuesto complementa la detección técnica con información pública reciente y explicable: qué avisos están vigentes, qué condiciones meteorológicas pueden favorecer la propagación, qué administraciones han comunicado un incendio y cómo ha evolucionado su estado.</w:t>
      </w:r>
    </w:p>
    <w:p>
      <w:pPr>
        <w:pStyle w:val="Heading2"/>
      </w:pPr>
      <w:r>
        <w:t>2.1 Alcance funcional</w:t>
      </w:r>
    </w:p>
    <w:p>
      <w:pPr>
        <w:pStyle w:val="ListBullet"/>
        <w:spacing w:after="80" w:line="264" w:lineRule="auto"/>
      </w:pPr>
      <w:r>
        <w:t>Cobertura exclusiva de España, incluidas Canarias, Baleares, Ceuta y Melilla.</w:t>
      </w:r>
    </w:p>
    <w:p>
      <w:pPr>
        <w:pStyle w:val="ListBullet"/>
        <w:spacing w:after="80" w:line="264" w:lineRule="auto"/>
      </w:pPr>
      <w:r>
        <w:t>Contenido en castellano, catalán, gallego y euskera.</w:t>
      </w:r>
    </w:p>
    <w:p>
      <w:pPr>
        <w:pStyle w:val="ListBullet"/>
        <w:spacing w:after="80" w:line="264" w:lineRule="auto"/>
      </w:pPr>
      <w:r>
        <w:t>Avisos meteorológicos, riesgo de incendio, incendios activos e información contextual.</w:t>
      </w:r>
    </w:p>
    <w:p>
      <w:pPr>
        <w:pStyle w:val="ListBullet"/>
        <w:spacing w:after="80" w:line="264" w:lineRule="auto"/>
      </w:pPr>
      <w:r>
        <w:t>Consultas actuales e históricas con filtros por municipio, provincia y comunidad autónoma.</w:t>
      </w:r>
    </w:p>
    <w:p>
      <w:pPr>
        <w:pStyle w:val="Heading2"/>
      </w:pPr>
      <w:r>
        <w:t>2.2 Límites</w:t>
      </w:r>
    </w:p>
    <w:p>
      <w:pPr>
        <w:pStyle w:val="ListBullet"/>
        <w:spacing w:after="80" w:line="264" w:lineRule="auto"/>
      </w:pPr>
      <w:r>
        <w:t>Una anomalía térmica satelital no se tratará automáticamente como incendio confirmado.</w:t>
      </w:r>
    </w:p>
    <w:p>
      <w:pPr>
        <w:pStyle w:val="ListBullet"/>
        <w:spacing w:after="80" w:line="264" w:lineRule="auto"/>
      </w:pPr>
      <w:r>
        <w:t>Los foros y redes sociales no determinarán el estado operativo de un incendio.</w:t>
      </w:r>
    </w:p>
    <w:p>
      <w:pPr>
        <w:pStyle w:val="ListBullet"/>
        <w:spacing w:after="80" w:line="264" w:lineRule="auto"/>
      </w:pPr>
      <w:r>
        <w:t>El RAG no emitirá instrucciones de emergencia ni sustituirá al 112.</w:t>
      </w:r>
    </w:p>
    <w:p>
      <w:pPr>
        <w:pStyle w:val="Heading1"/>
      </w:pPr>
      <w:r>
        <w:t>3. Principios de diseño</w:t>
      </w:r>
    </w:p>
    <w:p>
      <w:pPr>
        <w:spacing w:after="100" w:line="264" w:lineRule="auto"/>
        <w:numPr>
          <w:ilvl w:val="0"/>
          <w:numId w:val="10"/>
        </w:numPr>
      </w:pPr>
      <w:r>
        <w:t>Fuente estructurada primero: API REST, CAP/RSS, CSV, XML y WMS antes que HTML.</w:t>
      </w:r>
    </w:p>
    <w:p>
      <w:pPr>
        <w:spacing w:after="100" w:line="264" w:lineRule="auto"/>
        <w:numPr>
          <w:ilvl w:val="0"/>
          <w:numId w:val="10"/>
        </w:numPr>
      </w:pPr>
      <w:r>
        <w:t>Incrementalidad: descargar solamente URLs o recursos nuevos o modificados.</w:t>
      </w:r>
    </w:p>
    <w:p>
      <w:pPr>
        <w:spacing w:after="100" w:line="264" w:lineRule="auto"/>
        <w:numPr>
          <w:ilvl w:val="0"/>
          <w:numId w:val="10"/>
        </w:numPr>
      </w:pPr>
      <w:r>
        <w:t>Trazabilidad: conservar el original, la fecha de captura y la URL.</w:t>
      </w:r>
    </w:p>
    <w:p>
      <w:pPr>
        <w:spacing w:after="100" w:line="264" w:lineRule="auto"/>
        <w:numPr>
          <w:ilvl w:val="0"/>
          <w:numId w:val="10"/>
        </w:numPr>
      </w:pPr>
      <w:r>
        <w:t>Temporalidad explícita: distinguir fecha de publicación, actualización y periodo de validez.</w:t>
      </w:r>
    </w:p>
    <w:p>
      <w:pPr>
        <w:spacing w:after="100" w:line="264" w:lineRule="auto"/>
        <w:numPr>
          <w:ilvl w:val="0"/>
          <w:numId w:val="10"/>
        </w:numPr>
      </w:pPr>
      <w:r>
        <w:t>Confianza por fuente: priorizar organismos oficiales frente a prensa, foros o redes.</w:t>
      </w:r>
    </w:p>
    <w:p>
      <w:pPr>
        <w:spacing w:after="100" w:line="264" w:lineRule="auto"/>
        <w:numPr>
          <w:ilvl w:val="0"/>
          <w:numId w:val="10"/>
        </w:numPr>
      </w:pPr>
      <w:r>
        <w:t>Degradación controlada: si una fuente falla, conservar el último dato válido indicando su antigüedad.</w:t>
      </w:r>
    </w:p>
    <w:p>
      <w:pPr>
        <w:pStyle w:val="Heading1"/>
      </w:pPr>
      <w:r>
        <w:t>4. Inventario de fuentes y tipo de conexión</w:t>
      </w:r>
    </w:p>
    <w:p>
      <w:r>
        <w:t>Las siguientes tablas resumen la conexión recomendada. “Gratuita” se refiere al acceso a la fuente; no incluye infraestructura, embeddings, modelos de lenguaje ni posibles permisos de redistribución.</w:t>
      </w:r>
    </w:p>
    <w:p>
      <w:pPr>
        <w:pStyle w:val="Heading2"/>
      </w:pPr>
      <w:r>
        <w:t>4.1 Fuentes oficiales nacionales</w:t>
      </w:r>
    </w:p>
    <w:tbl>
      <w:tblPr>
        <w:tblStyle w:val="TableGrid"/>
        <w:tblW w:type="dxa" w:w="9360"/>
        <w:jc w:val="left"/>
        <w:tblLayout w:type="fixed"/>
        <w:tblLook w:firstColumn="1" w:firstRow="1" w:lastColumn="0" w:lastRow="0" w:noHBand="0" w:noVBand="1" w:val="04A0"/>
        <w:tblInd w:w="120" w:type="dxa"/>
      </w:tblPr>
      <w:tblGrid>
        <w:gridCol w:w="1500"/>
        <w:gridCol w:w="2300"/>
        <w:gridCol w:w="1500"/>
        <w:gridCol w:w="1150"/>
        <w:gridCol w:w="2910"/>
      </w:tblGrid>
      <w:tr>
        <w:trPr>
          <w:tblHeader w:val="true"/>
          <w:cantSplit/>
        </w:trPr>
        <w:tc>
          <w:tcPr>
            <w:tcW w:type="dxa" w:w="1500"/>
            <w:shd w:fill="F2F4F7"/>
            <w:vAlign w:val="center"/>
            <w:tcMar>
              <w:top w:w="80" w:type="dxa"/>
              <w:start w:w="120" w:type="dxa"/>
              <w:bottom w:w="80" w:type="dxa"/>
              <w:end w:w="120" w:type="dxa"/>
            </w:tcMar>
          </w:tcPr>
          <w:p>
            <w:pPr>
              <w:spacing w:after="0" w:line="240" w:lineRule="auto"/>
              <w:jc w:val="center"/>
            </w:pPr>
            <w:r>
              <w:rPr>
                <w:rFonts w:ascii="Calibri" w:hAnsi="Calibri"/>
                <w:b/>
                <w:color w:val="203548"/>
                <w:sz w:val="17"/>
              </w:rPr>
              <w:t>Fuente</w:t>
            </w:r>
          </w:p>
        </w:tc>
        <w:tc>
          <w:tcPr>
            <w:tcW w:type="dxa" w:w="2300"/>
            <w:shd w:fill="F2F4F7"/>
            <w:vAlign w:val="center"/>
            <w:tcMar>
              <w:top w:w="80" w:type="dxa"/>
              <w:start w:w="120" w:type="dxa"/>
              <w:bottom w:w="80" w:type="dxa"/>
              <w:end w:w="120" w:type="dxa"/>
            </w:tcMar>
          </w:tcPr>
          <w:p>
            <w:pPr>
              <w:spacing w:after="0" w:line="240" w:lineRule="auto"/>
              <w:jc w:val="center"/>
            </w:pPr>
            <w:r>
              <w:rPr>
                <w:rFonts w:ascii="Calibri" w:hAnsi="Calibri"/>
                <w:b/>
                <w:color w:val="203548"/>
                <w:sz w:val="17"/>
              </w:rPr>
              <w:t>Conexión y formato</w:t>
            </w:r>
          </w:p>
        </w:tc>
        <w:tc>
          <w:tcPr>
            <w:tcW w:type="dxa" w:w="1500"/>
            <w:shd w:fill="F2F4F7"/>
            <w:vAlign w:val="center"/>
            <w:tcMar>
              <w:top w:w="80" w:type="dxa"/>
              <w:start w:w="120" w:type="dxa"/>
              <w:bottom w:w="80" w:type="dxa"/>
              <w:end w:w="120" w:type="dxa"/>
            </w:tcMar>
          </w:tcPr>
          <w:p>
            <w:pPr>
              <w:spacing w:after="0" w:line="240" w:lineRule="auto"/>
              <w:jc w:val="center"/>
            </w:pPr>
            <w:r>
              <w:rPr>
                <w:rFonts w:ascii="Calibri" w:hAnsi="Calibri"/>
                <w:b/>
                <w:color w:val="203548"/>
                <w:sz w:val="17"/>
              </w:rPr>
              <w:t>Autenticación</w:t>
            </w:r>
          </w:p>
        </w:tc>
        <w:tc>
          <w:tcPr>
            <w:tcW w:type="dxa" w:w="1150"/>
            <w:shd w:fill="F2F4F7"/>
            <w:vAlign w:val="center"/>
            <w:tcMar>
              <w:top w:w="80" w:type="dxa"/>
              <w:start w:w="120" w:type="dxa"/>
              <w:bottom w:w="80" w:type="dxa"/>
              <w:end w:w="120" w:type="dxa"/>
            </w:tcMar>
          </w:tcPr>
          <w:p>
            <w:pPr>
              <w:spacing w:after="0" w:line="240" w:lineRule="auto"/>
              <w:jc w:val="center"/>
            </w:pPr>
            <w:r>
              <w:rPr>
                <w:rFonts w:ascii="Calibri" w:hAnsi="Calibri"/>
                <w:b/>
                <w:color w:val="203548"/>
                <w:sz w:val="17"/>
              </w:rPr>
              <w:t>Coste</w:t>
            </w:r>
          </w:p>
        </w:tc>
        <w:tc>
          <w:tcPr>
            <w:tcW w:type="dxa" w:w="2910"/>
            <w:shd w:fill="F2F4F7"/>
            <w:vAlign w:val="center"/>
            <w:tcMar>
              <w:top w:w="80" w:type="dxa"/>
              <w:start w:w="120" w:type="dxa"/>
              <w:bottom w:w="80" w:type="dxa"/>
              <w:end w:w="120" w:type="dxa"/>
            </w:tcMar>
          </w:tcPr>
          <w:p>
            <w:pPr>
              <w:spacing w:after="0" w:line="240" w:lineRule="auto"/>
              <w:jc w:val="center"/>
            </w:pPr>
            <w:r>
              <w:rPr>
                <w:rFonts w:ascii="Calibri" w:hAnsi="Calibri"/>
                <w:b/>
                <w:color w:val="203548"/>
                <w:sz w:val="17"/>
              </w:rPr>
              <w:t>Uso recomendado</w:t>
            </w:r>
          </w:p>
        </w:tc>
      </w:tr>
      <w:tr>
        <w:trPr>
          <w:cantSplit/>
        </w:trPr>
        <w:tc>
          <w:tcPr>
            <w:tcW w:type="dxa" w:w="1500"/>
            <w:vAlign w:val="center"/>
            <w:tcMar>
              <w:top w:w="80" w:type="dxa"/>
              <w:start w:w="120" w:type="dxa"/>
              <w:bottom w:w="80" w:type="dxa"/>
              <w:end w:w="120" w:type="dxa"/>
            </w:tcMar>
          </w:tcPr>
          <w:p>
            <w:pPr>
              <w:spacing w:after="0" w:line="240" w:lineRule="auto"/>
              <w:jc w:val="left"/>
            </w:pPr>
            <w:r>
              <w:rPr>
                <w:rFonts w:ascii="Calibri" w:hAnsi="Calibri"/>
                <w:color w:val="203548"/>
                <w:sz w:val="17"/>
              </w:rPr>
              <w:t>AEMET: avisos</w:t>
            </w:r>
          </w:p>
        </w:tc>
        <w:tc>
          <w:tcPr>
            <w:tcW w:type="dxa" w:w="2300"/>
            <w:vAlign w:val="center"/>
            <w:tcMar>
              <w:top w:w="80" w:type="dxa"/>
              <w:start w:w="120" w:type="dxa"/>
              <w:bottom w:w="80" w:type="dxa"/>
              <w:end w:w="120" w:type="dxa"/>
            </w:tcMar>
          </w:tcPr>
          <w:p>
            <w:pPr>
              <w:spacing w:after="0" w:line="240" w:lineRule="auto"/>
              <w:jc w:val="left"/>
            </w:pPr>
            <w:r>
              <w:rPr>
                <w:rFonts w:ascii="Calibri" w:hAnsi="Calibri"/>
                <w:color w:val="203548"/>
                <w:sz w:val="17"/>
              </w:rPr>
              <w:t>RSS/Atom + CAP 1.2 (XML)</w:t>
            </w:r>
          </w:p>
        </w:tc>
        <w:tc>
          <w:tcPr>
            <w:tcW w:type="dxa" w:w="1500"/>
            <w:vAlign w:val="center"/>
            <w:tcMar>
              <w:top w:w="80" w:type="dxa"/>
              <w:start w:w="120" w:type="dxa"/>
              <w:bottom w:w="80" w:type="dxa"/>
              <w:end w:w="120" w:type="dxa"/>
            </w:tcMar>
          </w:tcPr>
          <w:p>
            <w:pPr>
              <w:spacing w:after="0" w:line="240" w:lineRule="auto"/>
              <w:jc w:val="center"/>
            </w:pPr>
            <w:r>
              <w:rPr>
                <w:rFonts w:ascii="Calibri" w:hAnsi="Calibri"/>
                <w:color w:val="203548"/>
                <w:sz w:val="17"/>
              </w:rPr>
              <w:t>No</w:t>
            </w:r>
          </w:p>
        </w:tc>
        <w:tc>
          <w:tcPr>
            <w:tcW w:type="dxa" w:w="1150"/>
            <w:vAlign w:val="center"/>
            <w:tcMar>
              <w:top w:w="80" w:type="dxa"/>
              <w:start w:w="120" w:type="dxa"/>
              <w:bottom w:w="80" w:type="dxa"/>
              <w:end w:w="120" w:type="dxa"/>
            </w:tcMar>
          </w:tcPr>
          <w:p>
            <w:pPr>
              <w:spacing w:after="0" w:line="240" w:lineRule="auto"/>
              <w:jc w:val="center"/>
            </w:pPr>
            <w:r>
              <w:rPr>
                <w:rFonts w:ascii="Calibri" w:hAnsi="Calibri"/>
                <w:color w:val="203548"/>
                <w:sz w:val="17"/>
              </w:rPr>
              <w:t>Gratis</w:t>
            </w:r>
          </w:p>
        </w:tc>
        <w:tc>
          <w:tcPr>
            <w:tcW w:type="dxa" w:w="2910"/>
            <w:vAlign w:val="center"/>
            <w:tcMar>
              <w:top w:w="80" w:type="dxa"/>
              <w:start w:w="120" w:type="dxa"/>
              <w:bottom w:w="80" w:type="dxa"/>
              <w:end w:w="120" w:type="dxa"/>
            </w:tcMar>
          </w:tcPr>
          <w:p>
            <w:pPr>
              <w:spacing w:after="0" w:line="240" w:lineRule="auto"/>
              <w:jc w:val="left"/>
            </w:pPr>
            <w:r>
              <w:rPr>
                <w:rFonts w:ascii="Calibri" w:hAnsi="Calibri"/>
                <w:color w:val="203548"/>
                <w:sz w:val="17"/>
              </w:rPr>
              <w:t>Avisos vigentes; 5–10 min</w:t>
            </w:r>
          </w:p>
        </w:tc>
      </w:tr>
      <w:tr>
        <w:trPr>
          <w:cantSplit/>
        </w:trPr>
        <w:tc>
          <w:tcPr>
            <w:tcW w:type="dxa" w:w="1500"/>
            <w:vAlign w:val="center"/>
            <w:tcMar>
              <w:top w:w="80" w:type="dxa"/>
              <w:start w:w="120" w:type="dxa"/>
              <w:bottom w:w="80" w:type="dxa"/>
              <w:end w:w="120" w:type="dxa"/>
            </w:tcMar>
          </w:tcPr>
          <w:p>
            <w:pPr>
              <w:spacing w:after="0" w:line="240" w:lineRule="auto"/>
              <w:jc w:val="left"/>
            </w:pPr>
            <w:r>
              <w:rPr>
                <w:rFonts w:ascii="Calibri" w:hAnsi="Calibri"/>
                <w:color w:val="203548"/>
                <w:sz w:val="17"/>
              </w:rPr>
              <w:t>AEMET OpenData</w:t>
            </w:r>
          </w:p>
        </w:tc>
        <w:tc>
          <w:tcPr>
            <w:tcW w:type="dxa" w:w="2300"/>
            <w:vAlign w:val="center"/>
            <w:tcMar>
              <w:top w:w="80" w:type="dxa"/>
              <w:start w:w="120" w:type="dxa"/>
              <w:bottom w:w="80" w:type="dxa"/>
              <w:end w:w="120" w:type="dxa"/>
            </w:tcMar>
          </w:tcPr>
          <w:p>
            <w:pPr>
              <w:spacing w:after="0" w:line="240" w:lineRule="auto"/>
              <w:jc w:val="left"/>
            </w:pPr>
            <w:r>
              <w:rPr>
                <w:rFonts w:ascii="Calibri" w:hAnsi="Calibri"/>
                <w:color w:val="203548"/>
                <w:sz w:val="17"/>
              </w:rPr>
              <w:t>API REST; JSON y descargas</w:t>
            </w:r>
          </w:p>
        </w:tc>
        <w:tc>
          <w:tcPr>
            <w:tcW w:type="dxa" w:w="1500"/>
            <w:vAlign w:val="center"/>
            <w:tcMar>
              <w:top w:w="80" w:type="dxa"/>
              <w:start w:w="120" w:type="dxa"/>
              <w:bottom w:w="80" w:type="dxa"/>
              <w:end w:w="120" w:type="dxa"/>
            </w:tcMar>
          </w:tcPr>
          <w:p>
            <w:pPr>
              <w:spacing w:after="0" w:line="240" w:lineRule="auto"/>
              <w:jc w:val="center"/>
            </w:pPr>
            <w:r>
              <w:rPr>
                <w:rFonts w:ascii="Calibri" w:hAnsi="Calibri"/>
                <w:color w:val="203548"/>
                <w:sz w:val="17"/>
              </w:rPr>
              <w:t>API key</w:t>
            </w:r>
          </w:p>
        </w:tc>
        <w:tc>
          <w:tcPr>
            <w:tcW w:type="dxa" w:w="1150"/>
            <w:vAlign w:val="center"/>
            <w:tcMar>
              <w:top w:w="80" w:type="dxa"/>
              <w:start w:w="120" w:type="dxa"/>
              <w:bottom w:w="80" w:type="dxa"/>
              <w:end w:w="120" w:type="dxa"/>
            </w:tcMar>
          </w:tcPr>
          <w:p>
            <w:pPr>
              <w:spacing w:after="0" w:line="240" w:lineRule="auto"/>
              <w:jc w:val="center"/>
            </w:pPr>
            <w:r>
              <w:rPr>
                <w:rFonts w:ascii="Calibri" w:hAnsi="Calibri"/>
                <w:color w:val="203548"/>
                <w:sz w:val="17"/>
              </w:rPr>
              <w:t>Gratis</w:t>
            </w:r>
          </w:p>
        </w:tc>
        <w:tc>
          <w:tcPr>
            <w:tcW w:type="dxa" w:w="2910"/>
            <w:vAlign w:val="center"/>
            <w:tcMar>
              <w:top w:w="80" w:type="dxa"/>
              <w:start w:w="120" w:type="dxa"/>
              <w:bottom w:w="80" w:type="dxa"/>
              <w:end w:w="120" w:type="dxa"/>
            </w:tcMar>
          </w:tcPr>
          <w:p>
            <w:pPr>
              <w:spacing w:after="0" w:line="240" w:lineRule="auto"/>
              <w:jc w:val="left"/>
            </w:pPr>
            <w:r>
              <w:rPr>
                <w:rFonts w:ascii="Calibri" w:hAnsi="Calibri"/>
                <w:color w:val="203548"/>
                <w:sz w:val="17"/>
              </w:rPr>
              <w:t>Histórico y backfill</w:t>
            </w:r>
          </w:p>
        </w:tc>
      </w:tr>
      <w:tr>
        <w:trPr>
          <w:cantSplit/>
        </w:trPr>
        <w:tc>
          <w:tcPr>
            <w:tcW w:type="dxa" w:w="1500"/>
            <w:vAlign w:val="center"/>
            <w:tcMar>
              <w:top w:w="80" w:type="dxa"/>
              <w:start w:w="120" w:type="dxa"/>
              <w:bottom w:w="80" w:type="dxa"/>
              <w:end w:w="120" w:type="dxa"/>
            </w:tcMar>
          </w:tcPr>
          <w:p>
            <w:pPr>
              <w:spacing w:after="0" w:line="240" w:lineRule="auto"/>
              <w:jc w:val="left"/>
            </w:pPr>
            <w:r>
              <w:rPr>
                <w:rFonts w:ascii="Calibri" w:hAnsi="Calibri"/>
                <w:color w:val="203548"/>
                <w:sz w:val="17"/>
              </w:rPr>
              <w:t>MITECO actuaciones</w:t>
            </w:r>
          </w:p>
        </w:tc>
        <w:tc>
          <w:tcPr>
            <w:tcW w:type="dxa" w:w="2300"/>
            <w:vAlign w:val="center"/>
            <w:tcMar>
              <w:top w:w="80" w:type="dxa"/>
              <w:start w:w="120" w:type="dxa"/>
              <w:bottom w:w="80" w:type="dxa"/>
              <w:end w:w="120" w:type="dxa"/>
            </w:tcMar>
          </w:tcPr>
          <w:p>
            <w:pPr>
              <w:spacing w:after="0" w:line="240" w:lineRule="auto"/>
              <w:jc w:val="left"/>
            </w:pPr>
            <w:r>
              <w:rPr>
                <w:rFonts w:ascii="Calibri" w:hAnsi="Calibri"/>
                <w:color w:val="203548"/>
                <w:sz w:val="17"/>
              </w:rPr>
              <w:t>PDF en URL estable</w:t>
            </w:r>
          </w:p>
        </w:tc>
        <w:tc>
          <w:tcPr>
            <w:tcW w:type="dxa" w:w="1500"/>
            <w:vAlign w:val="center"/>
            <w:tcMar>
              <w:top w:w="80" w:type="dxa"/>
              <w:start w:w="120" w:type="dxa"/>
              <w:bottom w:w="80" w:type="dxa"/>
              <w:end w:w="120" w:type="dxa"/>
            </w:tcMar>
          </w:tcPr>
          <w:p>
            <w:pPr>
              <w:spacing w:after="0" w:line="240" w:lineRule="auto"/>
              <w:jc w:val="center"/>
            </w:pPr>
            <w:r>
              <w:rPr>
                <w:rFonts w:ascii="Calibri" w:hAnsi="Calibri"/>
                <w:color w:val="203548"/>
                <w:sz w:val="17"/>
              </w:rPr>
              <w:t>No</w:t>
            </w:r>
          </w:p>
        </w:tc>
        <w:tc>
          <w:tcPr>
            <w:tcW w:type="dxa" w:w="1150"/>
            <w:vAlign w:val="center"/>
            <w:tcMar>
              <w:top w:w="80" w:type="dxa"/>
              <w:start w:w="120" w:type="dxa"/>
              <w:bottom w:w="80" w:type="dxa"/>
              <w:end w:w="120" w:type="dxa"/>
            </w:tcMar>
          </w:tcPr>
          <w:p>
            <w:pPr>
              <w:spacing w:after="0" w:line="240" w:lineRule="auto"/>
              <w:jc w:val="center"/>
            </w:pPr>
            <w:r>
              <w:rPr>
                <w:rFonts w:ascii="Calibri" w:hAnsi="Calibri"/>
                <w:color w:val="203548"/>
                <w:sz w:val="17"/>
              </w:rPr>
              <w:t>Gratis</w:t>
            </w:r>
          </w:p>
        </w:tc>
        <w:tc>
          <w:tcPr>
            <w:tcW w:type="dxa" w:w="2910"/>
            <w:vAlign w:val="center"/>
            <w:tcMar>
              <w:top w:w="80" w:type="dxa"/>
              <w:start w:w="120" w:type="dxa"/>
              <w:bottom w:w="80" w:type="dxa"/>
              <w:end w:w="120" w:type="dxa"/>
            </w:tcMar>
          </w:tcPr>
          <w:p>
            <w:pPr>
              <w:spacing w:after="0" w:line="240" w:lineRule="auto"/>
              <w:jc w:val="left"/>
            </w:pPr>
            <w:r>
              <w:rPr>
                <w:rFonts w:ascii="Calibri" w:hAnsi="Calibri"/>
                <w:color w:val="203548"/>
                <w:sz w:val="17"/>
              </w:rPr>
              <w:t>Parte provisional/definitivo</w:t>
            </w:r>
          </w:p>
        </w:tc>
      </w:tr>
      <w:tr>
        <w:trPr>
          <w:cantSplit/>
        </w:trPr>
        <w:tc>
          <w:tcPr>
            <w:tcW w:type="dxa" w:w="1500"/>
            <w:vAlign w:val="center"/>
            <w:tcMar>
              <w:top w:w="80" w:type="dxa"/>
              <w:start w:w="120" w:type="dxa"/>
              <w:bottom w:w="80" w:type="dxa"/>
              <w:end w:w="120" w:type="dxa"/>
            </w:tcMar>
          </w:tcPr>
          <w:p>
            <w:pPr>
              <w:spacing w:after="0" w:line="240" w:lineRule="auto"/>
              <w:jc w:val="left"/>
            </w:pPr>
            <w:r>
              <w:rPr>
                <w:rFonts w:ascii="Calibri" w:hAnsi="Calibri"/>
                <w:color w:val="203548"/>
                <w:sz w:val="17"/>
              </w:rPr>
              <w:t>MITECO EGIF</w:t>
            </w:r>
          </w:p>
        </w:tc>
        <w:tc>
          <w:tcPr>
            <w:tcW w:type="dxa" w:w="2300"/>
            <w:vAlign w:val="center"/>
            <w:tcMar>
              <w:top w:w="80" w:type="dxa"/>
              <w:start w:w="120" w:type="dxa"/>
              <w:bottom w:w="80" w:type="dxa"/>
              <w:end w:w="120" w:type="dxa"/>
            </w:tcMar>
          </w:tcPr>
          <w:p>
            <w:pPr>
              <w:spacing w:after="0" w:line="240" w:lineRule="auto"/>
              <w:jc w:val="left"/>
            </w:pPr>
            <w:r>
              <w:rPr>
                <w:rFonts w:ascii="Calibri" w:hAnsi="Calibri"/>
                <w:color w:val="203548"/>
                <w:sz w:val="17"/>
              </w:rPr>
              <w:t>Exportación XML/Excel</w:t>
            </w:r>
          </w:p>
        </w:tc>
        <w:tc>
          <w:tcPr>
            <w:tcW w:type="dxa" w:w="1500"/>
            <w:vAlign w:val="center"/>
            <w:tcMar>
              <w:top w:w="80" w:type="dxa"/>
              <w:start w:w="120" w:type="dxa"/>
              <w:bottom w:w="80" w:type="dxa"/>
              <w:end w:w="120" w:type="dxa"/>
            </w:tcMar>
          </w:tcPr>
          <w:p>
            <w:pPr>
              <w:spacing w:after="0" w:line="240" w:lineRule="auto"/>
              <w:jc w:val="center"/>
            </w:pPr>
            <w:r>
              <w:rPr>
                <w:rFonts w:ascii="Calibri" w:hAnsi="Calibri"/>
                <w:color w:val="203548"/>
                <w:sz w:val="17"/>
              </w:rPr>
              <w:t>No</w:t>
            </w:r>
          </w:p>
        </w:tc>
        <w:tc>
          <w:tcPr>
            <w:tcW w:type="dxa" w:w="1150"/>
            <w:vAlign w:val="center"/>
            <w:tcMar>
              <w:top w:w="80" w:type="dxa"/>
              <w:start w:w="120" w:type="dxa"/>
              <w:bottom w:w="80" w:type="dxa"/>
              <w:end w:w="120" w:type="dxa"/>
            </w:tcMar>
          </w:tcPr>
          <w:p>
            <w:pPr>
              <w:spacing w:after="0" w:line="240" w:lineRule="auto"/>
              <w:jc w:val="center"/>
            </w:pPr>
            <w:r>
              <w:rPr>
                <w:rFonts w:ascii="Calibri" w:hAnsi="Calibri"/>
                <w:color w:val="203548"/>
                <w:sz w:val="17"/>
              </w:rPr>
              <w:t>Gratis</w:t>
            </w:r>
          </w:p>
        </w:tc>
        <w:tc>
          <w:tcPr>
            <w:tcW w:type="dxa" w:w="2910"/>
            <w:vAlign w:val="center"/>
            <w:tcMar>
              <w:top w:w="80" w:type="dxa"/>
              <w:start w:w="120" w:type="dxa"/>
              <w:bottom w:w="80" w:type="dxa"/>
              <w:end w:w="120" w:type="dxa"/>
            </w:tcMar>
          </w:tcPr>
          <w:p>
            <w:pPr>
              <w:spacing w:after="0" w:line="240" w:lineRule="auto"/>
              <w:jc w:val="left"/>
            </w:pPr>
            <w:r>
              <w:rPr>
                <w:rFonts w:ascii="Calibri" w:hAnsi="Calibri"/>
                <w:color w:val="203548"/>
                <w:sz w:val="17"/>
              </w:rPr>
              <w:t>Histórico consolidado</w:t>
            </w:r>
          </w:p>
        </w:tc>
      </w:tr>
      <w:tr>
        <w:trPr>
          <w:cantSplit/>
        </w:trPr>
        <w:tc>
          <w:tcPr>
            <w:tcW w:type="dxa" w:w="1500"/>
            <w:vAlign w:val="center"/>
            <w:tcMar>
              <w:top w:w="80" w:type="dxa"/>
              <w:start w:w="120" w:type="dxa"/>
              <w:bottom w:w="80" w:type="dxa"/>
              <w:end w:w="120" w:type="dxa"/>
            </w:tcMar>
          </w:tcPr>
          <w:p>
            <w:pPr>
              <w:spacing w:after="0" w:line="240" w:lineRule="auto"/>
              <w:jc w:val="left"/>
            </w:pPr>
            <w:r>
              <w:rPr>
                <w:rFonts w:ascii="Calibri" w:hAnsi="Calibri"/>
                <w:color w:val="203548"/>
                <w:sz w:val="17"/>
              </w:rPr>
              <w:t>EFFIS/Copernicus</w:t>
            </w:r>
          </w:p>
        </w:tc>
        <w:tc>
          <w:tcPr>
            <w:tcW w:type="dxa" w:w="2300"/>
            <w:vAlign w:val="center"/>
            <w:tcMar>
              <w:top w:w="80" w:type="dxa"/>
              <w:start w:w="120" w:type="dxa"/>
              <w:bottom w:w="80" w:type="dxa"/>
              <w:end w:w="120" w:type="dxa"/>
            </w:tcMar>
          </w:tcPr>
          <w:p>
            <w:pPr>
              <w:spacing w:after="0" w:line="240" w:lineRule="auto"/>
              <w:jc w:val="left"/>
            </w:pPr>
            <w:r>
              <w:rPr>
                <w:rFonts w:ascii="Calibri" w:hAnsi="Calibri"/>
                <w:color w:val="203548"/>
                <w:sz w:val="17"/>
              </w:rPr>
              <w:t>WMS y descargas GIS</w:t>
            </w:r>
          </w:p>
        </w:tc>
        <w:tc>
          <w:tcPr>
            <w:tcW w:type="dxa" w:w="1500"/>
            <w:vAlign w:val="center"/>
            <w:tcMar>
              <w:top w:w="80" w:type="dxa"/>
              <w:start w:w="120" w:type="dxa"/>
              <w:bottom w:w="80" w:type="dxa"/>
              <w:end w:w="120" w:type="dxa"/>
            </w:tcMar>
          </w:tcPr>
          <w:p>
            <w:pPr>
              <w:spacing w:after="0" w:line="240" w:lineRule="auto"/>
              <w:jc w:val="center"/>
            </w:pPr>
            <w:r>
              <w:rPr>
                <w:rFonts w:ascii="Calibri" w:hAnsi="Calibri"/>
                <w:color w:val="203548"/>
                <w:sz w:val="17"/>
              </w:rPr>
              <w:t>Habitualmente no</w:t>
            </w:r>
          </w:p>
        </w:tc>
        <w:tc>
          <w:tcPr>
            <w:tcW w:type="dxa" w:w="1150"/>
            <w:vAlign w:val="center"/>
            <w:tcMar>
              <w:top w:w="80" w:type="dxa"/>
              <w:start w:w="120" w:type="dxa"/>
              <w:bottom w:w="80" w:type="dxa"/>
              <w:end w:w="120" w:type="dxa"/>
            </w:tcMar>
          </w:tcPr>
          <w:p>
            <w:pPr>
              <w:spacing w:after="0" w:line="240" w:lineRule="auto"/>
              <w:jc w:val="center"/>
            </w:pPr>
            <w:r>
              <w:rPr>
                <w:rFonts w:ascii="Calibri" w:hAnsi="Calibri"/>
                <w:color w:val="203548"/>
                <w:sz w:val="17"/>
              </w:rPr>
              <w:t>Gratis</w:t>
            </w:r>
          </w:p>
        </w:tc>
        <w:tc>
          <w:tcPr>
            <w:tcW w:type="dxa" w:w="2910"/>
            <w:vAlign w:val="center"/>
            <w:tcMar>
              <w:top w:w="80" w:type="dxa"/>
              <w:start w:w="120" w:type="dxa"/>
              <w:bottom w:w="80" w:type="dxa"/>
              <w:end w:w="120" w:type="dxa"/>
            </w:tcMar>
          </w:tcPr>
          <w:p>
            <w:pPr>
              <w:spacing w:after="0" w:line="240" w:lineRule="auto"/>
              <w:jc w:val="left"/>
            </w:pPr>
            <w:r>
              <w:rPr>
                <w:rFonts w:ascii="Calibri" w:hAnsi="Calibri"/>
                <w:color w:val="203548"/>
                <w:sz w:val="17"/>
              </w:rPr>
              <w:t>Riesgo, focos y perímetros</w:t>
            </w:r>
          </w:p>
        </w:tc>
      </w:tr>
    </w:tbl>
    <w:p>
      <w:pPr>
        <w:spacing w:after="0"/>
      </w:pPr>
    </w:p>
    <w:p>
      <w:pPr>
        <w:pStyle w:val="Heading2"/>
      </w:pPr>
      <w:r>
        <w:t>4.2 Fuentes autonómicas y meteorológicas</w:t>
      </w:r>
    </w:p>
    <w:tbl>
      <w:tblPr>
        <w:tblStyle w:val="TableGrid"/>
        <w:tblW w:type="dxa" w:w="9360"/>
        <w:jc w:val="left"/>
        <w:tblLayout w:type="fixed"/>
        <w:tblLook w:firstColumn="1" w:firstRow="1" w:lastColumn="0" w:lastRow="0" w:noHBand="0" w:noVBand="1" w:val="04A0"/>
        <w:tblInd w:w="120" w:type="dxa"/>
      </w:tblPr>
      <w:tblGrid>
        <w:gridCol w:w="1450"/>
        <w:gridCol w:w="2200"/>
        <w:gridCol w:w="1580"/>
        <w:gridCol w:w="1230"/>
        <w:gridCol w:w="2900"/>
      </w:tblGrid>
      <w:tr>
        <w:trPr>
          <w:tblHeader w:val="true"/>
          <w:cantSplit/>
        </w:trPr>
        <w:tc>
          <w:tcPr>
            <w:tcW w:type="dxa" w:w="1450"/>
            <w:shd w:fill="F2F4F7"/>
            <w:vAlign w:val="center"/>
            <w:tcMar>
              <w:top w:w="80" w:type="dxa"/>
              <w:start w:w="120" w:type="dxa"/>
              <w:bottom w:w="80" w:type="dxa"/>
              <w:end w:w="120" w:type="dxa"/>
            </w:tcMar>
          </w:tcPr>
          <w:p>
            <w:pPr>
              <w:spacing w:after="0" w:line="240" w:lineRule="auto"/>
              <w:jc w:val="center"/>
            </w:pPr>
            <w:r>
              <w:rPr>
                <w:rFonts w:ascii="Calibri" w:hAnsi="Calibri"/>
                <w:b/>
                <w:color w:val="203548"/>
                <w:sz w:val="16"/>
              </w:rPr>
              <w:t>Fuente</w:t>
            </w:r>
          </w:p>
        </w:tc>
        <w:tc>
          <w:tcPr>
            <w:tcW w:type="dxa" w:w="2200"/>
            <w:shd w:fill="F2F4F7"/>
            <w:vAlign w:val="center"/>
            <w:tcMar>
              <w:top w:w="80" w:type="dxa"/>
              <w:start w:w="120" w:type="dxa"/>
              <w:bottom w:w="80" w:type="dxa"/>
              <w:end w:w="120" w:type="dxa"/>
            </w:tcMar>
          </w:tcPr>
          <w:p>
            <w:pPr>
              <w:spacing w:after="0" w:line="240" w:lineRule="auto"/>
              <w:jc w:val="center"/>
            </w:pPr>
            <w:r>
              <w:rPr>
                <w:rFonts w:ascii="Calibri" w:hAnsi="Calibri"/>
                <w:b/>
                <w:color w:val="203548"/>
                <w:sz w:val="16"/>
              </w:rPr>
              <w:t>Conexión</w:t>
            </w:r>
          </w:p>
        </w:tc>
        <w:tc>
          <w:tcPr>
            <w:tcW w:type="dxa" w:w="1580"/>
            <w:shd w:fill="F2F4F7"/>
            <w:vAlign w:val="center"/>
            <w:tcMar>
              <w:top w:w="80" w:type="dxa"/>
              <w:start w:w="120" w:type="dxa"/>
              <w:bottom w:w="80" w:type="dxa"/>
              <w:end w:w="120" w:type="dxa"/>
            </w:tcMar>
          </w:tcPr>
          <w:p>
            <w:pPr>
              <w:spacing w:after="0" w:line="240" w:lineRule="auto"/>
              <w:jc w:val="center"/>
            </w:pPr>
            <w:r>
              <w:rPr>
                <w:rFonts w:ascii="Calibri" w:hAnsi="Calibri"/>
                <w:b/>
                <w:color w:val="203548"/>
                <w:sz w:val="16"/>
              </w:rPr>
              <w:t>Autenticación</w:t>
            </w:r>
          </w:p>
        </w:tc>
        <w:tc>
          <w:tcPr>
            <w:tcW w:type="dxa" w:w="1230"/>
            <w:shd w:fill="F2F4F7"/>
            <w:vAlign w:val="center"/>
            <w:tcMar>
              <w:top w:w="80" w:type="dxa"/>
              <w:start w:w="120" w:type="dxa"/>
              <w:bottom w:w="80" w:type="dxa"/>
              <w:end w:w="120" w:type="dxa"/>
            </w:tcMar>
          </w:tcPr>
          <w:p>
            <w:pPr>
              <w:spacing w:after="0" w:line="240" w:lineRule="auto"/>
              <w:jc w:val="center"/>
            </w:pPr>
            <w:r>
              <w:rPr>
                <w:rFonts w:ascii="Calibri" w:hAnsi="Calibri"/>
                <w:b/>
                <w:color w:val="203548"/>
                <w:sz w:val="16"/>
              </w:rPr>
              <w:t>Coste</w:t>
            </w:r>
          </w:p>
        </w:tc>
        <w:tc>
          <w:tcPr>
            <w:tcW w:type="dxa" w:w="2900"/>
            <w:shd w:fill="F2F4F7"/>
            <w:vAlign w:val="center"/>
            <w:tcMar>
              <w:top w:w="80" w:type="dxa"/>
              <w:start w:w="120" w:type="dxa"/>
              <w:bottom w:w="80" w:type="dxa"/>
              <w:end w:w="120" w:type="dxa"/>
            </w:tcMar>
          </w:tcPr>
          <w:p>
            <w:pPr>
              <w:spacing w:after="0" w:line="240" w:lineRule="auto"/>
              <w:jc w:val="center"/>
            </w:pPr>
            <w:r>
              <w:rPr>
                <w:rFonts w:ascii="Calibri" w:hAnsi="Calibri"/>
                <w:b/>
                <w:color w:val="203548"/>
                <w:sz w:val="16"/>
              </w:rPr>
              <w:t>Decisión técnica</w:t>
            </w:r>
          </w:p>
        </w:tc>
      </w:tr>
      <w:tr>
        <w:trPr>
          <w:cantSplit/>
        </w:trPr>
        <w:tc>
          <w:tcPr>
            <w:tcW w:type="dxa" w:w="1450"/>
            <w:vAlign w:val="center"/>
            <w:tcMar>
              <w:top w:w="80" w:type="dxa"/>
              <w:start w:w="120" w:type="dxa"/>
              <w:bottom w:w="80" w:type="dxa"/>
              <w:end w:w="120" w:type="dxa"/>
            </w:tcMar>
          </w:tcPr>
          <w:p>
            <w:pPr>
              <w:spacing w:after="0" w:line="240" w:lineRule="auto"/>
              <w:jc w:val="left"/>
            </w:pPr>
            <w:r>
              <w:rPr>
                <w:rFonts w:ascii="Calibri" w:hAnsi="Calibri"/>
                <w:color w:val="203548"/>
                <w:sz w:val="16"/>
              </w:rPr>
              <w:t>Castilla y León</w:t>
            </w:r>
          </w:p>
        </w:tc>
        <w:tc>
          <w:tcPr>
            <w:tcW w:type="dxa" w:w="2200"/>
            <w:vAlign w:val="center"/>
            <w:tcMar>
              <w:top w:w="80" w:type="dxa"/>
              <w:start w:w="120" w:type="dxa"/>
              <w:bottom w:w="80" w:type="dxa"/>
              <w:end w:w="120" w:type="dxa"/>
            </w:tcMar>
          </w:tcPr>
          <w:p>
            <w:pPr>
              <w:spacing w:after="0" w:line="240" w:lineRule="auto"/>
              <w:jc w:val="left"/>
            </w:pPr>
            <w:r>
              <w:rPr>
                <w:rFonts w:ascii="Calibri" w:hAnsi="Calibri"/>
                <w:color w:val="203548"/>
                <w:sz w:val="16"/>
              </w:rPr>
              <w:t>API Opendatasoft; JSON/CSV/GeoJSON</w:t>
            </w:r>
          </w:p>
        </w:tc>
        <w:tc>
          <w:tcPr>
            <w:tcW w:type="dxa" w:w="1580"/>
            <w:vAlign w:val="center"/>
            <w:tcMar>
              <w:top w:w="80" w:type="dxa"/>
              <w:start w:w="120" w:type="dxa"/>
              <w:bottom w:w="80" w:type="dxa"/>
              <w:end w:w="120" w:type="dxa"/>
            </w:tcMar>
          </w:tcPr>
          <w:p>
            <w:pPr>
              <w:spacing w:after="0" w:line="240" w:lineRule="auto"/>
              <w:jc w:val="center"/>
            </w:pPr>
            <w:r>
              <w:rPr>
                <w:rFonts w:ascii="Calibri" w:hAnsi="Calibri"/>
                <w:color w:val="203548"/>
                <w:sz w:val="16"/>
              </w:rPr>
              <w:t>No</w:t>
            </w:r>
          </w:p>
        </w:tc>
        <w:tc>
          <w:tcPr>
            <w:tcW w:type="dxa" w:w="1230"/>
            <w:vAlign w:val="center"/>
            <w:tcMar>
              <w:top w:w="80" w:type="dxa"/>
              <w:start w:w="120" w:type="dxa"/>
              <w:bottom w:w="80" w:type="dxa"/>
              <w:end w:w="120" w:type="dxa"/>
            </w:tcMar>
          </w:tcPr>
          <w:p>
            <w:pPr>
              <w:spacing w:after="0" w:line="240" w:lineRule="auto"/>
              <w:jc w:val="center"/>
            </w:pPr>
            <w:r>
              <w:rPr>
                <w:rFonts w:ascii="Calibri" w:hAnsi="Calibri"/>
                <w:color w:val="203548"/>
                <w:sz w:val="16"/>
              </w:rPr>
              <w:t>Gratis</w:t>
            </w:r>
          </w:p>
        </w:tc>
        <w:tc>
          <w:tcPr>
            <w:tcW w:type="dxa" w:w="2900"/>
            <w:vAlign w:val="center"/>
            <w:tcMar>
              <w:top w:w="80" w:type="dxa"/>
              <w:start w:w="120" w:type="dxa"/>
              <w:bottom w:w="80" w:type="dxa"/>
              <w:end w:w="120" w:type="dxa"/>
            </w:tcMar>
          </w:tcPr>
          <w:p>
            <w:pPr>
              <w:spacing w:after="0" w:line="240" w:lineRule="auto"/>
              <w:jc w:val="left"/>
            </w:pPr>
            <w:r>
              <w:rPr>
                <w:rFonts w:ascii="Calibri" w:hAnsi="Calibri"/>
                <w:color w:val="203548"/>
                <w:sz w:val="16"/>
              </w:rPr>
              <w:t>Integrar por API</w:t>
            </w:r>
          </w:p>
        </w:tc>
      </w:tr>
      <w:tr>
        <w:trPr>
          <w:cantSplit/>
        </w:trPr>
        <w:tc>
          <w:tcPr>
            <w:tcW w:type="dxa" w:w="1450"/>
            <w:vAlign w:val="center"/>
            <w:tcMar>
              <w:top w:w="80" w:type="dxa"/>
              <w:start w:w="120" w:type="dxa"/>
              <w:bottom w:w="80" w:type="dxa"/>
              <w:end w:w="120" w:type="dxa"/>
            </w:tcMar>
          </w:tcPr>
          <w:p>
            <w:pPr>
              <w:spacing w:after="0" w:line="240" w:lineRule="auto"/>
              <w:jc w:val="left"/>
            </w:pPr>
            <w:r>
              <w:rPr>
                <w:rFonts w:ascii="Calibri" w:hAnsi="Calibri"/>
                <w:color w:val="203548"/>
                <w:sz w:val="16"/>
              </w:rPr>
              <w:t>Cataluña Bombers</w:t>
            </w:r>
          </w:p>
        </w:tc>
        <w:tc>
          <w:tcPr>
            <w:tcW w:type="dxa" w:w="2200"/>
            <w:vAlign w:val="center"/>
            <w:tcMar>
              <w:top w:w="80" w:type="dxa"/>
              <w:start w:w="120" w:type="dxa"/>
              <w:bottom w:w="80" w:type="dxa"/>
              <w:end w:w="120" w:type="dxa"/>
            </w:tcMar>
          </w:tcPr>
          <w:p>
            <w:pPr>
              <w:spacing w:after="0" w:line="240" w:lineRule="auto"/>
              <w:jc w:val="left"/>
            </w:pPr>
            <w:r>
              <w:rPr>
                <w:rFonts w:ascii="Calibri" w:hAnsi="Calibri"/>
                <w:color w:val="203548"/>
                <w:sz w:val="16"/>
              </w:rPr>
              <w:t>API Socrata/SODA</w:t>
            </w:r>
          </w:p>
        </w:tc>
        <w:tc>
          <w:tcPr>
            <w:tcW w:type="dxa" w:w="1580"/>
            <w:vAlign w:val="center"/>
            <w:tcMar>
              <w:top w:w="80" w:type="dxa"/>
              <w:start w:w="120" w:type="dxa"/>
              <w:bottom w:w="80" w:type="dxa"/>
              <w:end w:w="120" w:type="dxa"/>
            </w:tcMar>
          </w:tcPr>
          <w:p>
            <w:pPr>
              <w:spacing w:after="0" w:line="240" w:lineRule="auto"/>
              <w:jc w:val="center"/>
            </w:pPr>
            <w:r>
              <w:rPr>
                <w:rFonts w:ascii="Calibri" w:hAnsi="Calibri"/>
                <w:color w:val="203548"/>
                <w:sz w:val="16"/>
              </w:rPr>
              <w:t>Token opcional</w:t>
            </w:r>
          </w:p>
        </w:tc>
        <w:tc>
          <w:tcPr>
            <w:tcW w:type="dxa" w:w="1230"/>
            <w:vAlign w:val="center"/>
            <w:tcMar>
              <w:top w:w="80" w:type="dxa"/>
              <w:start w:w="120" w:type="dxa"/>
              <w:bottom w:w="80" w:type="dxa"/>
              <w:end w:w="120" w:type="dxa"/>
            </w:tcMar>
          </w:tcPr>
          <w:p>
            <w:pPr>
              <w:spacing w:after="0" w:line="240" w:lineRule="auto"/>
              <w:jc w:val="center"/>
            </w:pPr>
            <w:r>
              <w:rPr>
                <w:rFonts w:ascii="Calibri" w:hAnsi="Calibri"/>
                <w:color w:val="203548"/>
                <w:sz w:val="16"/>
              </w:rPr>
              <w:t>Gratis</w:t>
            </w:r>
          </w:p>
        </w:tc>
        <w:tc>
          <w:tcPr>
            <w:tcW w:type="dxa" w:w="2900"/>
            <w:vAlign w:val="center"/>
            <w:tcMar>
              <w:top w:w="80" w:type="dxa"/>
              <w:start w:w="120" w:type="dxa"/>
              <w:bottom w:w="80" w:type="dxa"/>
              <w:end w:w="120" w:type="dxa"/>
            </w:tcMar>
          </w:tcPr>
          <w:p>
            <w:pPr>
              <w:spacing w:after="0" w:line="240" w:lineRule="auto"/>
              <w:jc w:val="left"/>
            </w:pPr>
            <w:r>
              <w:rPr>
                <w:rFonts w:ascii="Calibri" w:hAnsi="Calibri"/>
                <w:color w:val="203548"/>
                <w:sz w:val="16"/>
              </w:rPr>
              <w:t>Integrar por API</w:t>
            </w:r>
          </w:p>
        </w:tc>
      </w:tr>
      <w:tr>
        <w:trPr>
          <w:cantSplit/>
        </w:trPr>
        <w:tc>
          <w:tcPr>
            <w:tcW w:type="dxa" w:w="1450"/>
            <w:vAlign w:val="center"/>
            <w:tcMar>
              <w:top w:w="80" w:type="dxa"/>
              <w:start w:w="120" w:type="dxa"/>
              <w:bottom w:w="80" w:type="dxa"/>
              <w:end w:w="120" w:type="dxa"/>
            </w:tcMar>
          </w:tcPr>
          <w:p>
            <w:pPr>
              <w:spacing w:after="0" w:line="240" w:lineRule="auto"/>
              <w:jc w:val="left"/>
            </w:pPr>
            <w:r>
              <w:rPr>
                <w:rFonts w:ascii="Calibri" w:hAnsi="Calibri"/>
                <w:color w:val="203548"/>
                <w:sz w:val="16"/>
              </w:rPr>
              <w:t>INFOCA Andalucía</w:t>
            </w:r>
          </w:p>
        </w:tc>
        <w:tc>
          <w:tcPr>
            <w:tcW w:type="dxa" w:w="2200"/>
            <w:vAlign w:val="center"/>
            <w:tcMar>
              <w:top w:w="80" w:type="dxa"/>
              <w:start w:w="120" w:type="dxa"/>
              <w:bottom w:w="80" w:type="dxa"/>
              <w:end w:w="120" w:type="dxa"/>
            </w:tcMar>
          </w:tcPr>
          <w:p>
            <w:pPr>
              <w:spacing w:after="0" w:line="240" w:lineRule="auto"/>
              <w:jc w:val="left"/>
            </w:pPr>
            <w:r>
              <w:rPr>
                <w:rFonts w:ascii="Calibri" w:hAnsi="Calibri"/>
                <w:color w:val="203548"/>
                <w:sz w:val="16"/>
              </w:rPr>
              <w:t>Dashboard ArcGIS</w:t>
            </w:r>
          </w:p>
        </w:tc>
        <w:tc>
          <w:tcPr>
            <w:tcW w:type="dxa" w:w="1580"/>
            <w:vAlign w:val="center"/>
            <w:tcMar>
              <w:top w:w="80" w:type="dxa"/>
              <w:start w:w="120" w:type="dxa"/>
              <w:bottom w:w="80" w:type="dxa"/>
              <w:end w:w="120" w:type="dxa"/>
            </w:tcMar>
          </w:tcPr>
          <w:p>
            <w:pPr>
              <w:spacing w:after="0" w:line="240" w:lineRule="auto"/>
              <w:jc w:val="center"/>
            </w:pPr>
            <w:r>
              <w:rPr>
                <w:rFonts w:ascii="Calibri" w:hAnsi="Calibri"/>
                <w:color w:val="203548"/>
                <w:sz w:val="16"/>
              </w:rPr>
              <w:t>Depende de capa</w:t>
            </w:r>
          </w:p>
        </w:tc>
        <w:tc>
          <w:tcPr>
            <w:tcW w:type="dxa" w:w="1230"/>
            <w:vAlign w:val="center"/>
            <w:tcMar>
              <w:top w:w="80" w:type="dxa"/>
              <w:start w:w="120" w:type="dxa"/>
              <w:bottom w:w="80" w:type="dxa"/>
              <w:end w:w="120" w:type="dxa"/>
            </w:tcMar>
          </w:tcPr>
          <w:p>
            <w:pPr>
              <w:spacing w:after="0" w:line="240" w:lineRule="auto"/>
              <w:jc w:val="center"/>
            </w:pPr>
            <w:r>
              <w:rPr>
                <w:rFonts w:ascii="Calibri" w:hAnsi="Calibri"/>
                <w:color w:val="203548"/>
                <w:sz w:val="16"/>
              </w:rPr>
              <w:t>Consulta gratis</w:t>
            </w:r>
          </w:p>
        </w:tc>
        <w:tc>
          <w:tcPr>
            <w:tcW w:type="dxa" w:w="2900"/>
            <w:vAlign w:val="center"/>
            <w:tcMar>
              <w:top w:w="80" w:type="dxa"/>
              <w:start w:w="120" w:type="dxa"/>
              <w:bottom w:w="80" w:type="dxa"/>
              <w:end w:w="120" w:type="dxa"/>
            </w:tcMar>
          </w:tcPr>
          <w:p>
            <w:pPr>
              <w:spacing w:after="0" w:line="240" w:lineRule="auto"/>
              <w:jc w:val="left"/>
            </w:pPr>
            <w:r>
              <w:rPr>
                <w:rFonts w:ascii="Calibri" w:hAnsi="Calibri"/>
                <w:color w:val="203548"/>
                <w:sz w:val="16"/>
              </w:rPr>
              <w:t>ArcGIS REST; HTML de respaldo</w:t>
            </w:r>
          </w:p>
        </w:tc>
      </w:tr>
      <w:tr>
        <w:trPr>
          <w:cantSplit/>
        </w:trPr>
        <w:tc>
          <w:tcPr>
            <w:tcW w:type="dxa" w:w="1450"/>
            <w:vAlign w:val="center"/>
            <w:tcMar>
              <w:top w:w="80" w:type="dxa"/>
              <w:start w:w="120" w:type="dxa"/>
              <w:bottom w:w="80" w:type="dxa"/>
              <w:end w:w="120" w:type="dxa"/>
            </w:tcMar>
          </w:tcPr>
          <w:p>
            <w:pPr>
              <w:spacing w:after="0" w:line="240" w:lineRule="auto"/>
              <w:jc w:val="left"/>
            </w:pPr>
            <w:r>
              <w:rPr>
                <w:rFonts w:ascii="Calibri" w:hAnsi="Calibri"/>
                <w:color w:val="203548"/>
                <w:sz w:val="16"/>
              </w:rPr>
              <w:t>Xunta de Galicia</w:t>
            </w:r>
          </w:p>
        </w:tc>
        <w:tc>
          <w:tcPr>
            <w:tcW w:type="dxa" w:w="2200"/>
            <w:vAlign w:val="center"/>
            <w:tcMar>
              <w:top w:w="80" w:type="dxa"/>
              <w:start w:w="120" w:type="dxa"/>
              <w:bottom w:w="80" w:type="dxa"/>
              <w:end w:w="120" w:type="dxa"/>
            </w:tcMar>
          </w:tcPr>
          <w:p>
            <w:pPr>
              <w:spacing w:after="0" w:line="240" w:lineRule="auto"/>
              <w:jc w:val="left"/>
            </w:pPr>
            <w:r>
              <w:rPr>
                <w:rFonts w:ascii="Calibri" w:hAnsi="Calibri"/>
                <w:color w:val="203548"/>
                <w:sz w:val="16"/>
              </w:rPr>
              <w:t>Comunicados HTML</w:t>
            </w:r>
          </w:p>
        </w:tc>
        <w:tc>
          <w:tcPr>
            <w:tcW w:type="dxa" w:w="1580"/>
            <w:vAlign w:val="center"/>
            <w:tcMar>
              <w:top w:w="80" w:type="dxa"/>
              <w:start w:w="120" w:type="dxa"/>
              <w:bottom w:w="80" w:type="dxa"/>
              <w:end w:w="120" w:type="dxa"/>
            </w:tcMar>
          </w:tcPr>
          <w:p>
            <w:pPr>
              <w:spacing w:after="0" w:line="240" w:lineRule="auto"/>
              <w:jc w:val="center"/>
            </w:pPr>
            <w:r>
              <w:rPr>
                <w:rFonts w:ascii="Calibri" w:hAnsi="Calibri"/>
                <w:color w:val="203548"/>
                <w:sz w:val="16"/>
              </w:rPr>
              <w:t>No</w:t>
            </w:r>
          </w:p>
        </w:tc>
        <w:tc>
          <w:tcPr>
            <w:tcW w:type="dxa" w:w="1230"/>
            <w:vAlign w:val="center"/>
            <w:tcMar>
              <w:top w:w="80" w:type="dxa"/>
              <w:start w:w="120" w:type="dxa"/>
              <w:bottom w:w="80" w:type="dxa"/>
              <w:end w:w="120" w:type="dxa"/>
            </w:tcMar>
          </w:tcPr>
          <w:p>
            <w:pPr>
              <w:spacing w:after="0" w:line="240" w:lineRule="auto"/>
              <w:jc w:val="center"/>
            </w:pPr>
            <w:r>
              <w:rPr>
                <w:rFonts w:ascii="Calibri" w:hAnsi="Calibri"/>
                <w:color w:val="203548"/>
                <w:sz w:val="16"/>
              </w:rPr>
              <w:t>Consulta gratis</w:t>
            </w:r>
          </w:p>
        </w:tc>
        <w:tc>
          <w:tcPr>
            <w:tcW w:type="dxa" w:w="2900"/>
            <w:vAlign w:val="center"/>
            <w:tcMar>
              <w:top w:w="80" w:type="dxa"/>
              <w:start w:w="120" w:type="dxa"/>
              <w:bottom w:w="80" w:type="dxa"/>
              <w:end w:w="120" w:type="dxa"/>
            </w:tcMar>
          </w:tcPr>
          <w:p>
            <w:pPr>
              <w:spacing w:after="0" w:line="240" w:lineRule="auto"/>
              <w:jc w:val="left"/>
            </w:pPr>
            <w:r>
              <w:rPr>
                <w:rFonts w:ascii="Calibri" w:hAnsi="Calibri"/>
                <w:color w:val="203548"/>
                <w:sz w:val="16"/>
              </w:rPr>
              <w:t>Scraping incremental</w:t>
            </w:r>
          </w:p>
        </w:tc>
      </w:tr>
      <w:tr>
        <w:trPr>
          <w:cantSplit/>
        </w:trPr>
        <w:tc>
          <w:tcPr>
            <w:tcW w:type="dxa" w:w="1450"/>
            <w:vAlign w:val="center"/>
            <w:tcMar>
              <w:top w:w="80" w:type="dxa"/>
              <w:start w:w="120" w:type="dxa"/>
              <w:bottom w:w="80" w:type="dxa"/>
              <w:end w:w="120" w:type="dxa"/>
            </w:tcMar>
          </w:tcPr>
          <w:p>
            <w:pPr>
              <w:spacing w:after="0" w:line="240" w:lineRule="auto"/>
              <w:jc w:val="left"/>
            </w:pPr>
            <w:r>
              <w:rPr>
                <w:rFonts w:ascii="Calibri" w:hAnsi="Calibri"/>
                <w:color w:val="203548"/>
                <w:sz w:val="16"/>
              </w:rPr>
              <w:t>Canarias</w:t>
            </w:r>
          </w:p>
        </w:tc>
        <w:tc>
          <w:tcPr>
            <w:tcW w:type="dxa" w:w="2200"/>
            <w:vAlign w:val="center"/>
            <w:tcMar>
              <w:top w:w="80" w:type="dxa"/>
              <w:start w:w="120" w:type="dxa"/>
              <w:bottom w:w="80" w:type="dxa"/>
              <w:end w:w="120" w:type="dxa"/>
            </w:tcMar>
          </w:tcPr>
          <w:p>
            <w:pPr>
              <w:spacing w:after="0" w:line="240" w:lineRule="auto"/>
              <w:jc w:val="left"/>
            </w:pPr>
            <w:r>
              <w:rPr>
                <w:rFonts w:ascii="Calibri" w:hAnsi="Calibri"/>
                <w:color w:val="203548"/>
                <w:sz w:val="16"/>
              </w:rPr>
              <w:t>Web dinámica/Ajax</w:t>
            </w:r>
          </w:p>
        </w:tc>
        <w:tc>
          <w:tcPr>
            <w:tcW w:type="dxa" w:w="1580"/>
            <w:vAlign w:val="center"/>
            <w:tcMar>
              <w:top w:w="80" w:type="dxa"/>
              <w:start w:w="120" w:type="dxa"/>
              <w:bottom w:w="80" w:type="dxa"/>
              <w:end w:w="120" w:type="dxa"/>
            </w:tcMar>
          </w:tcPr>
          <w:p>
            <w:pPr>
              <w:spacing w:after="0" w:line="240" w:lineRule="auto"/>
              <w:jc w:val="center"/>
            </w:pPr>
            <w:r>
              <w:rPr>
                <w:rFonts w:ascii="Calibri" w:hAnsi="Calibri"/>
                <w:color w:val="203548"/>
                <w:sz w:val="16"/>
              </w:rPr>
              <w:t>No</w:t>
            </w:r>
          </w:p>
        </w:tc>
        <w:tc>
          <w:tcPr>
            <w:tcW w:type="dxa" w:w="1230"/>
            <w:vAlign w:val="center"/>
            <w:tcMar>
              <w:top w:w="80" w:type="dxa"/>
              <w:start w:w="120" w:type="dxa"/>
              <w:bottom w:w="80" w:type="dxa"/>
              <w:end w:w="120" w:type="dxa"/>
            </w:tcMar>
          </w:tcPr>
          <w:p>
            <w:pPr>
              <w:spacing w:after="0" w:line="240" w:lineRule="auto"/>
              <w:jc w:val="center"/>
            </w:pPr>
            <w:r>
              <w:rPr>
                <w:rFonts w:ascii="Calibri" w:hAnsi="Calibri"/>
                <w:color w:val="203548"/>
                <w:sz w:val="16"/>
              </w:rPr>
              <w:t>Consulta gratis</w:t>
            </w:r>
          </w:p>
        </w:tc>
        <w:tc>
          <w:tcPr>
            <w:tcW w:type="dxa" w:w="2900"/>
            <w:vAlign w:val="center"/>
            <w:tcMar>
              <w:top w:w="80" w:type="dxa"/>
              <w:start w:w="120" w:type="dxa"/>
              <w:bottom w:w="80" w:type="dxa"/>
              <w:end w:w="120" w:type="dxa"/>
            </w:tcMar>
          </w:tcPr>
          <w:p>
            <w:pPr>
              <w:spacing w:after="0" w:line="240" w:lineRule="auto"/>
              <w:jc w:val="left"/>
            </w:pPr>
            <w:r>
              <w:rPr>
                <w:rFonts w:ascii="Calibri" w:hAnsi="Calibri"/>
                <w:color w:val="203548"/>
                <w:sz w:val="16"/>
              </w:rPr>
              <w:t>Scraping controlado</w:t>
            </w:r>
          </w:p>
        </w:tc>
      </w:tr>
      <w:tr>
        <w:trPr>
          <w:cantSplit/>
        </w:trPr>
        <w:tc>
          <w:tcPr>
            <w:tcW w:type="dxa" w:w="1450"/>
            <w:vAlign w:val="center"/>
            <w:tcMar>
              <w:top w:w="80" w:type="dxa"/>
              <w:start w:w="120" w:type="dxa"/>
              <w:bottom w:w="80" w:type="dxa"/>
              <w:end w:w="120" w:type="dxa"/>
            </w:tcMar>
          </w:tcPr>
          <w:p>
            <w:pPr>
              <w:spacing w:after="0" w:line="240" w:lineRule="auto"/>
              <w:jc w:val="left"/>
            </w:pPr>
            <w:r>
              <w:rPr>
                <w:rFonts w:ascii="Calibri" w:hAnsi="Calibri"/>
                <w:color w:val="203548"/>
                <w:sz w:val="16"/>
              </w:rPr>
              <w:t>GVA 112</w:t>
            </w:r>
          </w:p>
        </w:tc>
        <w:tc>
          <w:tcPr>
            <w:tcW w:type="dxa" w:w="2200"/>
            <w:vAlign w:val="center"/>
            <w:tcMar>
              <w:top w:w="80" w:type="dxa"/>
              <w:start w:w="120" w:type="dxa"/>
              <w:bottom w:w="80" w:type="dxa"/>
              <w:end w:w="120" w:type="dxa"/>
            </w:tcMar>
          </w:tcPr>
          <w:p>
            <w:pPr>
              <w:spacing w:after="0" w:line="240" w:lineRule="auto"/>
              <w:jc w:val="left"/>
            </w:pPr>
            <w:r>
              <w:rPr>
                <w:rFonts w:ascii="Calibri" w:hAnsi="Calibri"/>
                <w:color w:val="203548"/>
                <w:sz w:val="16"/>
              </w:rPr>
              <w:t>HTML y PDF</w:t>
            </w:r>
          </w:p>
        </w:tc>
        <w:tc>
          <w:tcPr>
            <w:tcW w:type="dxa" w:w="1580"/>
            <w:vAlign w:val="center"/>
            <w:tcMar>
              <w:top w:w="80" w:type="dxa"/>
              <w:start w:w="120" w:type="dxa"/>
              <w:bottom w:w="80" w:type="dxa"/>
              <w:end w:w="120" w:type="dxa"/>
            </w:tcMar>
          </w:tcPr>
          <w:p>
            <w:pPr>
              <w:spacing w:after="0" w:line="240" w:lineRule="auto"/>
              <w:jc w:val="center"/>
            </w:pPr>
            <w:r>
              <w:rPr>
                <w:rFonts w:ascii="Calibri" w:hAnsi="Calibri"/>
                <w:color w:val="203548"/>
                <w:sz w:val="16"/>
              </w:rPr>
              <w:t>No</w:t>
            </w:r>
          </w:p>
        </w:tc>
        <w:tc>
          <w:tcPr>
            <w:tcW w:type="dxa" w:w="1230"/>
            <w:vAlign w:val="center"/>
            <w:tcMar>
              <w:top w:w="80" w:type="dxa"/>
              <w:start w:w="120" w:type="dxa"/>
              <w:bottom w:w="80" w:type="dxa"/>
              <w:end w:w="120" w:type="dxa"/>
            </w:tcMar>
          </w:tcPr>
          <w:p>
            <w:pPr>
              <w:spacing w:after="0" w:line="240" w:lineRule="auto"/>
              <w:jc w:val="center"/>
            </w:pPr>
            <w:r>
              <w:rPr>
                <w:rFonts w:ascii="Calibri" w:hAnsi="Calibri"/>
                <w:color w:val="203548"/>
                <w:sz w:val="16"/>
              </w:rPr>
              <w:t>Consulta gratis</w:t>
            </w:r>
          </w:p>
        </w:tc>
        <w:tc>
          <w:tcPr>
            <w:tcW w:type="dxa" w:w="2900"/>
            <w:vAlign w:val="center"/>
            <w:tcMar>
              <w:top w:w="80" w:type="dxa"/>
              <w:start w:w="120" w:type="dxa"/>
              <w:bottom w:w="80" w:type="dxa"/>
              <w:end w:w="120" w:type="dxa"/>
            </w:tcMar>
          </w:tcPr>
          <w:p>
            <w:pPr>
              <w:spacing w:after="0" w:line="240" w:lineRule="auto"/>
              <w:jc w:val="left"/>
            </w:pPr>
            <w:r>
              <w:rPr>
                <w:rFonts w:ascii="Calibri" w:hAnsi="Calibri"/>
                <w:color w:val="203548"/>
                <w:sz w:val="16"/>
              </w:rPr>
              <w:t>No depender de API interna</w:t>
            </w:r>
          </w:p>
        </w:tc>
      </w:tr>
      <w:tr>
        <w:trPr>
          <w:cantSplit/>
        </w:trPr>
        <w:tc>
          <w:tcPr>
            <w:tcW w:type="dxa" w:w="1450"/>
            <w:vAlign w:val="center"/>
            <w:tcMar>
              <w:top w:w="80" w:type="dxa"/>
              <w:start w:w="120" w:type="dxa"/>
              <w:bottom w:w="80" w:type="dxa"/>
              <w:end w:w="120" w:type="dxa"/>
            </w:tcMar>
          </w:tcPr>
          <w:p>
            <w:pPr>
              <w:spacing w:after="0" w:line="240" w:lineRule="auto"/>
              <w:jc w:val="left"/>
            </w:pPr>
            <w:r>
              <w:rPr>
                <w:rFonts w:ascii="Calibri" w:hAnsi="Calibri"/>
                <w:color w:val="203548"/>
                <w:sz w:val="16"/>
              </w:rPr>
              <w:t>INFOAR Aragón</w:t>
            </w:r>
          </w:p>
        </w:tc>
        <w:tc>
          <w:tcPr>
            <w:tcW w:type="dxa" w:w="2200"/>
            <w:vAlign w:val="center"/>
            <w:tcMar>
              <w:top w:w="80" w:type="dxa"/>
              <w:start w:w="120" w:type="dxa"/>
              <w:bottom w:w="80" w:type="dxa"/>
              <w:end w:w="120" w:type="dxa"/>
            </w:tcMar>
          </w:tcPr>
          <w:p>
            <w:pPr>
              <w:spacing w:after="0" w:line="240" w:lineRule="auto"/>
              <w:jc w:val="left"/>
            </w:pPr>
            <w:r>
              <w:rPr>
                <w:rFonts w:ascii="Calibri" w:hAnsi="Calibri"/>
                <w:color w:val="203548"/>
                <w:sz w:val="16"/>
              </w:rPr>
              <w:t>HTML/PDF</w:t>
            </w:r>
          </w:p>
        </w:tc>
        <w:tc>
          <w:tcPr>
            <w:tcW w:type="dxa" w:w="1580"/>
            <w:vAlign w:val="center"/>
            <w:tcMar>
              <w:top w:w="80" w:type="dxa"/>
              <w:start w:w="120" w:type="dxa"/>
              <w:bottom w:w="80" w:type="dxa"/>
              <w:end w:w="120" w:type="dxa"/>
            </w:tcMar>
          </w:tcPr>
          <w:p>
            <w:pPr>
              <w:spacing w:after="0" w:line="240" w:lineRule="auto"/>
              <w:jc w:val="center"/>
            </w:pPr>
            <w:r>
              <w:rPr>
                <w:rFonts w:ascii="Calibri" w:hAnsi="Calibri"/>
                <w:color w:val="203548"/>
                <w:sz w:val="16"/>
              </w:rPr>
              <w:t>No</w:t>
            </w:r>
          </w:p>
        </w:tc>
        <w:tc>
          <w:tcPr>
            <w:tcW w:type="dxa" w:w="1230"/>
            <w:vAlign w:val="center"/>
            <w:tcMar>
              <w:top w:w="80" w:type="dxa"/>
              <w:start w:w="120" w:type="dxa"/>
              <w:bottom w:w="80" w:type="dxa"/>
              <w:end w:w="120" w:type="dxa"/>
            </w:tcMar>
          </w:tcPr>
          <w:p>
            <w:pPr>
              <w:spacing w:after="0" w:line="240" w:lineRule="auto"/>
              <w:jc w:val="center"/>
            </w:pPr>
            <w:r>
              <w:rPr>
                <w:rFonts w:ascii="Calibri" w:hAnsi="Calibri"/>
                <w:color w:val="203548"/>
                <w:sz w:val="16"/>
              </w:rPr>
              <w:t>Consulta gratis</w:t>
            </w:r>
          </w:p>
        </w:tc>
        <w:tc>
          <w:tcPr>
            <w:tcW w:type="dxa" w:w="2900"/>
            <w:vAlign w:val="center"/>
            <w:tcMar>
              <w:top w:w="80" w:type="dxa"/>
              <w:start w:w="120" w:type="dxa"/>
              <w:bottom w:w="80" w:type="dxa"/>
              <w:end w:w="120" w:type="dxa"/>
            </w:tcMar>
          </w:tcPr>
          <w:p>
            <w:pPr>
              <w:spacing w:after="0" w:line="240" w:lineRule="auto"/>
              <w:jc w:val="left"/>
            </w:pPr>
            <w:r>
              <w:rPr>
                <w:rFonts w:ascii="Calibri" w:hAnsi="Calibri"/>
                <w:color w:val="203548"/>
                <w:sz w:val="16"/>
              </w:rPr>
              <w:t>Scraping de comunicados</w:t>
            </w:r>
          </w:p>
        </w:tc>
      </w:tr>
      <w:tr>
        <w:trPr>
          <w:cantSplit/>
        </w:trPr>
        <w:tc>
          <w:tcPr>
            <w:tcW w:type="dxa" w:w="1450"/>
            <w:vAlign w:val="center"/>
            <w:tcMar>
              <w:top w:w="80" w:type="dxa"/>
              <w:start w:w="120" w:type="dxa"/>
              <w:bottom w:w="80" w:type="dxa"/>
              <w:end w:w="120" w:type="dxa"/>
            </w:tcMar>
          </w:tcPr>
          <w:p>
            <w:pPr>
              <w:spacing w:after="0" w:line="240" w:lineRule="auto"/>
              <w:jc w:val="left"/>
            </w:pPr>
            <w:r>
              <w:rPr>
                <w:rFonts w:ascii="Calibri" w:hAnsi="Calibri"/>
                <w:color w:val="203548"/>
                <w:sz w:val="16"/>
              </w:rPr>
              <w:t>Meteocat</w:t>
            </w:r>
          </w:p>
        </w:tc>
        <w:tc>
          <w:tcPr>
            <w:tcW w:type="dxa" w:w="2200"/>
            <w:vAlign w:val="center"/>
            <w:tcMar>
              <w:top w:w="80" w:type="dxa"/>
              <w:start w:w="120" w:type="dxa"/>
              <w:bottom w:w="80" w:type="dxa"/>
              <w:end w:w="120" w:type="dxa"/>
            </w:tcMar>
          </w:tcPr>
          <w:p>
            <w:pPr>
              <w:spacing w:after="0" w:line="240" w:lineRule="auto"/>
              <w:jc w:val="left"/>
            </w:pPr>
            <w:r>
              <w:rPr>
                <w:rFonts w:ascii="Calibri" w:hAnsi="Calibri"/>
                <w:color w:val="203548"/>
                <w:sz w:val="16"/>
              </w:rPr>
              <w:t>API REST JSON</w:t>
            </w:r>
          </w:p>
        </w:tc>
        <w:tc>
          <w:tcPr>
            <w:tcW w:type="dxa" w:w="1580"/>
            <w:vAlign w:val="center"/>
            <w:tcMar>
              <w:top w:w="80" w:type="dxa"/>
              <w:start w:w="120" w:type="dxa"/>
              <w:bottom w:w="80" w:type="dxa"/>
              <w:end w:w="120" w:type="dxa"/>
            </w:tcMar>
          </w:tcPr>
          <w:p>
            <w:pPr>
              <w:spacing w:after="0" w:line="240" w:lineRule="auto"/>
              <w:jc w:val="center"/>
            </w:pPr>
            <w:r>
              <w:rPr>
                <w:rFonts w:ascii="Calibri" w:hAnsi="Calibri"/>
                <w:color w:val="203548"/>
                <w:sz w:val="16"/>
              </w:rPr>
              <w:t>API key</w:t>
            </w:r>
          </w:p>
        </w:tc>
        <w:tc>
          <w:tcPr>
            <w:tcW w:type="dxa" w:w="1230"/>
            <w:vAlign w:val="center"/>
            <w:tcMar>
              <w:top w:w="80" w:type="dxa"/>
              <w:start w:w="120" w:type="dxa"/>
              <w:bottom w:w="80" w:type="dxa"/>
              <w:end w:w="120" w:type="dxa"/>
            </w:tcMar>
          </w:tcPr>
          <w:p>
            <w:pPr>
              <w:spacing w:after="0" w:line="240" w:lineRule="auto"/>
              <w:jc w:val="center"/>
            </w:pPr>
            <w:r>
              <w:rPr>
                <w:rFonts w:ascii="Calibri" w:hAnsi="Calibri"/>
                <w:color w:val="203548"/>
                <w:sz w:val="16"/>
              </w:rPr>
              <w:t>Gratis TFM</w:t>
            </w:r>
          </w:p>
        </w:tc>
        <w:tc>
          <w:tcPr>
            <w:tcW w:type="dxa" w:w="2900"/>
            <w:vAlign w:val="center"/>
            <w:tcMar>
              <w:top w:w="80" w:type="dxa"/>
              <w:start w:w="120" w:type="dxa"/>
              <w:bottom w:w="80" w:type="dxa"/>
              <w:end w:w="120" w:type="dxa"/>
            </w:tcMar>
          </w:tcPr>
          <w:p>
            <w:pPr>
              <w:spacing w:after="0" w:line="240" w:lineRule="auto"/>
              <w:jc w:val="left"/>
            </w:pPr>
            <w:r>
              <w:rPr>
                <w:rFonts w:ascii="Calibri" w:hAnsi="Calibri"/>
                <w:color w:val="203548"/>
                <w:sz w:val="16"/>
              </w:rPr>
              <w:t>Opcional; revisar difusión</w:t>
            </w:r>
          </w:p>
        </w:tc>
      </w:tr>
      <w:tr>
        <w:trPr>
          <w:cantSplit/>
        </w:trPr>
        <w:tc>
          <w:tcPr>
            <w:tcW w:type="dxa" w:w="1450"/>
            <w:vAlign w:val="center"/>
            <w:tcMar>
              <w:top w:w="80" w:type="dxa"/>
              <w:start w:w="120" w:type="dxa"/>
              <w:bottom w:w="80" w:type="dxa"/>
              <w:end w:w="120" w:type="dxa"/>
            </w:tcMar>
          </w:tcPr>
          <w:p>
            <w:pPr>
              <w:spacing w:after="0" w:line="240" w:lineRule="auto"/>
              <w:jc w:val="left"/>
            </w:pPr>
            <w:r>
              <w:rPr>
                <w:rFonts w:ascii="Calibri" w:hAnsi="Calibri"/>
                <w:color w:val="203548"/>
                <w:sz w:val="16"/>
              </w:rPr>
              <w:t>Euskalmet</w:t>
            </w:r>
          </w:p>
        </w:tc>
        <w:tc>
          <w:tcPr>
            <w:tcW w:type="dxa" w:w="2200"/>
            <w:vAlign w:val="center"/>
            <w:tcMar>
              <w:top w:w="80" w:type="dxa"/>
              <w:start w:w="120" w:type="dxa"/>
              <w:bottom w:w="80" w:type="dxa"/>
              <w:end w:w="120" w:type="dxa"/>
            </w:tcMar>
          </w:tcPr>
          <w:p>
            <w:pPr>
              <w:spacing w:after="0" w:line="240" w:lineRule="auto"/>
              <w:jc w:val="left"/>
            </w:pPr>
            <w:r>
              <w:rPr>
                <w:rFonts w:ascii="Calibri" w:hAnsi="Calibri"/>
                <w:color w:val="203548"/>
                <w:sz w:val="16"/>
              </w:rPr>
              <w:t>API REST JSON + JWT</w:t>
            </w:r>
          </w:p>
        </w:tc>
        <w:tc>
          <w:tcPr>
            <w:tcW w:type="dxa" w:w="1580"/>
            <w:vAlign w:val="center"/>
            <w:tcMar>
              <w:top w:w="80" w:type="dxa"/>
              <w:start w:w="120" w:type="dxa"/>
              <w:bottom w:w="80" w:type="dxa"/>
              <w:end w:w="120" w:type="dxa"/>
            </w:tcMar>
          </w:tcPr>
          <w:p>
            <w:pPr>
              <w:spacing w:after="0" w:line="240" w:lineRule="auto"/>
              <w:jc w:val="center"/>
            </w:pPr>
            <w:r>
              <w:rPr>
                <w:rFonts w:ascii="Calibri" w:hAnsi="Calibri"/>
                <w:color w:val="203548"/>
                <w:sz w:val="16"/>
              </w:rPr>
              <w:t>Registro gratuito</w:t>
            </w:r>
          </w:p>
        </w:tc>
        <w:tc>
          <w:tcPr>
            <w:tcW w:type="dxa" w:w="1230"/>
            <w:vAlign w:val="center"/>
            <w:tcMar>
              <w:top w:w="80" w:type="dxa"/>
              <w:start w:w="120" w:type="dxa"/>
              <w:bottom w:w="80" w:type="dxa"/>
              <w:end w:w="120" w:type="dxa"/>
            </w:tcMar>
          </w:tcPr>
          <w:p>
            <w:pPr>
              <w:spacing w:after="0" w:line="240" w:lineRule="auto"/>
              <w:jc w:val="center"/>
            </w:pPr>
            <w:r>
              <w:rPr>
                <w:rFonts w:ascii="Calibri" w:hAnsi="Calibri"/>
                <w:color w:val="203548"/>
                <w:sz w:val="16"/>
              </w:rPr>
              <w:t>Gratis</w:t>
            </w:r>
          </w:p>
        </w:tc>
        <w:tc>
          <w:tcPr>
            <w:tcW w:type="dxa" w:w="2900"/>
            <w:vAlign w:val="center"/>
            <w:tcMar>
              <w:top w:w="80" w:type="dxa"/>
              <w:start w:w="120" w:type="dxa"/>
              <w:bottom w:w="80" w:type="dxa"/>
              <w:end w:w="120" w:type="dxa"/>
            </w:tcMar>
          </w:tcPr>
          <w:p>
            <w:pPr>
              <w:spacing w:after="0" w:line="240" w:lineRule="auto"/>
              <w:jc w:val="left"/>
            </w:pPr>
            <w:r>
              <w:rPr>
                <w:rFonts w:ascii="Calibri" w:hAnsi="Calibri"/>
                <w:color w:val="203548"/>
                <w:sz w:val="16"/>
              </w:rPr>
              <w:t>API para alertas regionales</w:t>
            </w:r>
          </w:p>
        </w:tc>
      </w:tr>
      <w:tr>
        <w:trPr>
          <w:cantSplit/>
        </w:trPr>
        <w:tc>
          <w:tcPr>
            <w:tcW w:type="dxa" w:w="1450"/>
            <w:vAlign w:val="center"/>
            <w:tcMar>
              <w:top w:w="80" w:type="dxa"/>
              <w:start w:w="120" w:type="dxa"/>
              <w:bottom w:w="80" w:type="dxa"/>
              <w:end w:w="120" w:type="dxa"/>
            </w:tcMar>
          </w:tcPr>
          <w:p>
            <w:pPr>
              <w:spacing w:after="0" w:line="240" w:lineRule="auto"/>
              <w:jc w:val="left"/>
            </w:pPr>
            <w:r>
              <w:rPr>
                <w:rFonts w:ascii="Calibri" w:hAnsi="Calibri"/>
                <w:color w:val="203548"/>
                <w:sz w:val="16"/>
              </w:rPr>
              <w:t>MeteoGalicia</w:t>
            </w:r>
          </w:p>
        </w:tc>
        <w:tc>
          <w:tcPr>
            <w:tcW w:type="dxa" w:w="2200"/>
            <w:vAlign w:val="center"/>
            <w:tcMar>
              <w:top w:w="80" w:type="dxa"/>
              <w:start w:w="120" w:type="dxa"/>
              <w:bottom w:w="80" w:type="dxa"/>
              <w:end w:w="120" w:type="dxa"/>
            </w:tcMar>
          </w:tcPr>
          <w:p>
            <w:pPr>
              <w:spacing w:after="0" w:line="240" w:lineRule="auto"/>
              <w:jc w:val="left"/>
            </w:pPr>
            <w:r>
              <w:rPr>
                <w:rFonts w:ascii="Calibri" w:hAnsi="Calibri"/>
                <w:color w:val="203548"/>
                <w:sz w:val="16"/>
              </w:rPr>
              <w:t>RSS/XML y JSON</w:t>
            </w:r>
          </w:p>
        </w:tc>
        <w:tc>
          <w:tcPr>
            <w:tcW w:type="dxa" w:w="1580"/>
            <w:vAlign w:val="center"/>
            <w:tcMar>
              <w:top w:w="80" w:type="dxa"/>
              <w:start w:w="120" w:type="dxa"/>
              <w:bottom w:w="80" w:type="dxa"/>
              <w:end w:w="120" w:type="dxa"/>
            </w:tcMar>
          </w:tcPr>
          <w:p>
            <w:pPr>
              <w:spacing w:after="0" w:line="240" w:lineRule="auto"/>
              <w:jc w:val="center"/>
            </w:pPr>
            <w:r>
              <w:rPr>
                <w:rFonts w:ascii="Calibri" w:hAnsi="Calibri"/>
                <w:color w:val="203548"/>
                <w:sz w:val="16"/>
              </w:rPr>
              <w:t>No</w:t>
            </w:r>
          </w:p>
        </w:tc>
        <w:tc>
          <w:tcPr>
            <w:tcW w:type="dxa" w:w="1230"/>
            <w:vAlign w:val="center"/>
            <w:tcMar>
              <w:top w:w="80" w:type="dxa"/>
              <w:start w:w="120" w:type="dxa"/>
              <w:bottom w:w="80" w:type="dxa"/>
              <w:end w:w="120" w:type="dxa"/>
            </w:tcMar>
          </w:tcPr>
          <w:p>
            <w:pPr>
              <w:spacing w:after="0" w:line="240" w:lineRule="auto"/>
              <w:jc w:val="center"/>
            </w:pPr>
            <w:r>
              <w:rPr>
                <w:rFonts w:ascii="Calibri" w:hAnsi="Calibri"/>
                <w:color w:val="203548"/>
                <w:sz w:val="16"/>
              </w:rPr>
              <w:t>Gratis</w:t>
            </w:r>
          </w:p>
        </w:tc>
        <w:tc>
          <w:tcPr>
            <w:tcW w:type="dxa" w:w="2900"/>
            <w:vAlign w:val="center"/>
            <w:tcMar>
              <w:top w:w="80" w:type="dxa"/>
              <w:start w:w="120" w:type="dxa"/>
              <w:bottom w:w="80" w:type="dxa"/>
              <w:end w:w="120" w:type="dxa"/>
            </w:tcMar>
          </w:tcPr>
          <w:p>
            <w:pPr>
              <w:spacing w:after="0" w:line="240" w:lineRule="auto"/>
              <w:jc w:val="left"/>
            </w:pPr>
            <w:r>
              <w:rPr>
                <w:rFonts w:ascii="Calibri" w:hAnsi="Calibri"/>
                <w:color w:val="203548"/>
                <w:sz w:val="16"/>
              </w:rPr>
              <w:t>Feed/API; no scraping</w:t>
            </w:r>
          </w:p>
        </w:tc>
      </w:tr>
    </w:tbl>
    <w:p>
      <w:pPr>
        <w:spacing w:after="0"/>
      </w:pPr>
    </w:p>
    <w:p>
      <w:pPr>
        <w:pStyle w:val="Heading2"/>
      </w:pPr>
      <w:r>
        <w:t>4.3 Noticias y comunidad</w:t>
      </w:r>
    </w:p>
    <w:tbl>
      <w:tblPr>
        <w:tblStyle w:val="TableGrid"/>
        <w:tblW w:type="dxa" w:w="9360"/>
        <w:jc w:val="left"/>
        <w:tblLayout w:type="fixed"/>
        <w:tblLook w:firstColumn="1" w:firstRow="1" w:lastColumn="0" w:lastRow="0" w:noHBand="0" w:noVBand="1" w:val="04A0"/>
        <w:tblInd w:w="120" w:type="dxa"/>
      </w:tblPr>
      <w:tblGrid>
        <w:gridCol w:w="1600"/>
        <w:gridCol w:w="2300"/>
        <w:gridCol w:w="1500"/>
        <w:gridCol w:w="2450"/>
        <w:gridCol w:w="1510"/>
      </w:tblGrid>
      <w:tr>
        <w:trPr>
          <w:tblHeader w:val="true"/>
          <w:cantSplit/>
        </w:trPr>
        <w:tc>
          <w:tcPr>
            <w:tcW w:type="dxa" w:w="1600"/>
            <w:shd w:fill="F2F4F7"/>
            <w:vAlign w:val="center"/>
            <w:tcMar>
              <w:top w:w="80" w:type="dxa"/>
              <w:start w:w="120" w:type="dxa"/>
              <w:bottom w:w="80" w:type="dxa"/>
              <w:end w:w="120" w:type="dxa"/>
            </w:tcMar>
          </w:tcPr>
          <w:p>
            <w:pPr>
              <w:spacing w:after="0" w:line="240" w:lineRule="auto"/>
              <w:jc w:val="center"/>
            </w:pPr>
            <w:r>
              <w:rPr>
                <w:rFonts w:ascii="Calibri" w:hAnsi="Calibri"/>
                <w:b/>
                <w:color w:val="203548"/>
                <w:sz w:val="17"/>
              </w:rPr>
              <w:t>Fuente</w:t>
            </w:r>
          </w:p>
        </w:tc>
        <w:tc>
          <w:tcPr>
            <w:tcW w:type="dxa" w:w="2300"/>
            <w:shd w:fill="F2F4F7"/>
            <w:vAlign w:val="center"/>
            <w:tcMar>
              <w:top w:w="80" w:type="dxa"/>
              <w:start w:w="120" w:type="dxa"/>
              <w:bottom w:w="80" w:type="dxa"/>
              <w:end w:w="120" w:type="dxa"/>
            </w:tcMar>
          </w:tcPr>
          <w:p>
            <w:pPr>
              <w:spacing w:after="0" w:line="240" w:lineRule="auto"/>
              <w:jc w:val="center"/>
            </w:pPr>
            <w:r>
              <w:rPr>
                <w:rFonts w:ascii="Calibri" w:hAnsi="Calibri"/>
                <w:b/>
                <w:color w:val="203548"/>
                <w:sz w:val="17"/>
              </w:rPr>
              <w:t>Conexión</w:t>
            </w:r>
          </w:p>
        </w:tc>
        <w:tc>
          <w:tcPr>
            <w:tcW w:type="dxa" w:w="1500"/>
            <w:shd w:fill="F2F4F7"/>
            <w:vAlign w:val="center"/>
            <w:tcMar>
              <w:top w:w="80" w:type="dxa"/>
              <w:start w:w="120" w:type="dxa"/>
              <w:bottom w:w="80" w:type="dxa"/>
              <w:end w:w="120" w:type="dxa"/>
            </w:tcMar>
          </w:tcPr>
          <w:p>
            <w:pPr>
              <w:spacing w:after="0" w:line="240" w:lineRule="auto"/>
              <w:jc w:val="center"/>
            </w:pPr>
            <w:r>
              <w:rPr>
                <w:rFonts w:ascii="Calibri" w:hAnsi="Calibri"/>
                <w:b/>
                <w:color w:val="203548"/>
                <w:sz w:val="17"/>
              </w:rPr>
              <w:t>Acceso</w:t>
            </w:r>
          </w:p>
        </w:tc>
        <w:tc>
          <w:tcPr>
            <w:tcW w:type="dxa" w:w="2450"/>
            <w:shd w:fill="F2F4F7"/>
            <w:vAlign w:val="center"/>
            <w:tcMar>
              <w:top w:w="80" w:type="dxa"/>
              <w:start w:w="120" w:type="dxa"/>
              <w:bottom w:w="80" w:type="dxa"/>
              <w:end w:w="120" w:type="dxa"/>
            </w:tcMar>
          </w:tcPr>
          <w:p>
            <w:pPr>
              <w:spacing w:after="0" w:line="240" w:lineRule="auto"/>
              <w:jc w:val="center"/>
            </w:pPr>
            <w:r>
              <w:rPr>
                <w:rFonts w:ascii="Calibri" w:hAnsi="Calibri"/>
                <w:b/>
                <w:color w:val="203548"/>
                <w:sz w:val="17"/>
              </w:rPr>
              <w:t>Ingesta</w:t>
            </w:r>
          </w:p>
        </w:tc>
        <w:tc>
          <w:tcPr>
            <w:tcW w:type="dxa" w:w="1510"/>
            <w:shd w:fill="F2F4F7"/>
            <w:vAlign w:val="center"/>
            <w:tcMar>
              <w:top w:w="80" w:type="dxa"/>
              <w:start w:w="120" w:type="dxa"/>
              <w:bottom w:w="80" w:type="dxa"/>
              <w:end w:w="120" w:type="dxa"/>
            </w:tcMar>
          </w:tcPr>
          <w:p>
            <w:pPr>
              <w:spacing w:after="0" w:line="240" w:lineRule="auto"/>
              <w:jc w:val="center"/>
            </w:pPr>
            <w:r>
              <w:rPr>
                <w:rFonts w:ascii="Calibri" w:hAnsi="Calibri"/>
                <w:b/>
                <w:color w:val="203548"/>
                <w:sz w:val="17"/>
              </w:rPr>
              <w:t>Confianza</w:t>
            </w:r>
          </w:p>
        </w:tc>
      </w:tr>
      <w:tr>
        <w:trPr>
          <w:cantSplit/>
        </w:trPr>
        <w:tc>
          <w:tcPr>
            <w:tcW w:type="dxa" w:w="1600"/>
            <w:vAlign w:val="center"/>
            <w:tcMar>
              <w:top w:w="80" w:type="dxa"/>
              <w:start w:w="120" w:type="dxa"/>
              <w:bottom w:w="80" w:type="dxa"/>
              <w:end w:w="120" w:type="dxa"/>
            </w:tcMar>
          </w:tcPr>
          <w:p>
            <w:pPr>
              <w:spacing w:after="0" w:line="240" w:lineRule="auto"/>
              <w:jc w:val="left"/>
            </w:pPr>
            <w:r>
              <w:rPr>
                <w:rFonts w:ascii="Calibri" w:hAnsi="Calibri"/>
                <w:color w:val="203548"/>
                <w:sz w:val="17"/>
              </w:rPr>
              <w:t>RTVE</w:t>
            </w:r>
          </w:p>
        </w:tc>
        <w:tc>
          <w:tcPr>
            <w:tcW w:type="dxa" w:w="2300"/>
            <w:vAlign w:val="center"/>
            <w:tcMar>
              <w:top w:w="80" w:type="dxa"/>
              <w:start w:w="120" w:type="dxa"/>
              <w:bottom w:w="80" w:type="dxa"/>
              <w:end w:w="120" w:type="dxa"/>
            </w:tcMar>
          </w:tcPr>
          <w:p>
            <w:pPr>
              <w:spacing w:after="0" w:line="240" w:lineRule="auto"/>
              <w:jc w:val="left"/>
            </w:pPr>
            <w:r>
              <w:rPr>
                <w:rFonts w:ascii="Calibri" w:hAnsi="Calibri"/>
                <w:color w:val="203548"/>
                <w:sz w:val="17"/>
              </w:rPr>
              <w:t>RSS general + páginas temáticas</w:t>
            </w:r>
          </w:p>
        </w:tc>
        <w:tc>
          <w:tcPr>
            <w:tcW w:type="dxa" w:w="1500"/>
            <w:vAlign w:val="center"/>
            <w:tcMar>
              <w:top w:w="80" w:type="dxa"/>
              <w:start w:w="120" w:type="dxa"/>
              <w:bottom w:w="80" w:type="dxa"/>
              <w:end w:w="120" w:type="dxa"/>
            </w:tcMar>
          </w:tcPr>
          <w:p>
            <w:pPr>
              <w:spacing w:after="0" w:line="240" w:lineRule="auto"/>
              <w:jc w:val="center"/>
            </w:pPr>
            <w:r>
              <w:rPr>
                <w:rFonts w:ascii="Calibri" w:hAnsi="Calibri"/>
                <w:color w:val="203548"/>
                <w:sz w:val="17"/>
              </w:rPr>
              <w:t>Gratuito</w:t>
            </w:r>
          </w:p>
        </w:tc>
        <w:tc>
          <w:tcPr>
            <w:tcW w:type="dxa" w:w="2450"/>
            <w:vAlign w:val="center"/>
            <w:tcMar>
              <w:top w:w="80" w:type="dxa"/>
              <w:start w:w="120" w:type="dxa"/>
              <w:bottom w:w="80" w:type="dxa"/>
              <w:end w:w="120" w:type="dxa"/>
            </w:tcMar>
          </w:tcPr>
          <w:p>
            <w:pPr>
              <w:spacing w:after="0" w:line="240" w:lineRule="auto"/>
              <w:jc w:val="center"/>
            </w:pPr>
            <w:r>
              <w:rPr>
                <w:rFonts w:ascii="Calibri" w:hAnsi="Calibri"/>
                <w:color w:val="203548"/>
                <w:sz w:val="17"/>
              </w:rPr>
              <w:t>RSS y extracción HTML</w:t>
            </w:r>
          </w:p>
        </w:tc>
        <w:tc>
          <w:tcPr>
            <w:tcW w:type="dxa" w:w="1510"/>
            <w:vAlign w:val="center"/>
            <w:tcMar>
              <w:top w:w="80" w:type="dxa"/>
              <w:start w:w="120" w:type="dxa"/>
              <w:bottom w:w="80" w:type="dxa"/>
              <w:end w:w="120" w:type="dxa"/>
            </w:tcMar>
          </w:tcPr>
          <w:p>
            <w:pPr>
              <w:spacing w:after="0" w:line="240" w:lineRule="auto"/>
              <w:jc w:val="left"/>
            </w:pPr>
            <w:r>
              <w:rPr>
                <w:rFonts w:ascii="Calibri" w:hAnsi="Calibri"/>
                <w:color w:val="203548"/>
                <w:sz w:val="17"/>
              </w:rPr>
              <w:t>Media-alta</w:t>
            </w:r>
          </w:p>
        </w:tc>
      </w:tr>
      <w:tr>
        <w:trPr>
          <w:cantSplit/>
        </w:trPr>
        <w:tc>
          <w:tcPr>
            <w:tcW w:type="dxa" w:w="1600"/>
            <w:vAlign w:val="center"/>
            <w:tcMar>
              <w:top w:w="80" w:type="dxa"/>
              <w:start w:w="120" w:type="dxa"/>
              <w:bottom w:w="80" w:type="dxa"/>
              <w:end w:w="120" w:type="dxa"/>
            </w:tcMar>
          </w:tcPr>
          <w:p>
            <w:pPr>
              <w:spacing w:after="0" w:line="240" w:lineRule="auto"/>
              <w:jc w:val="left"/>
            </w:pPr>
            <w:r>
              <w:rPr>
                <w:rFonts w:ascii="Calibri" w:hAnsi="Calibri"/>
                <w:color w:val="203548"/>
                <w:sz w:val="17"/>
              </w:rPr>
              <w:t>EFEverde</w:t>
            </w:r>
          </w:p>
        </w:tc>
        <w:tc>
          <w:tcPr>
            <w:tcW w:type="dxa" w:w="2300"/>
            <w:vAlign w:val="center"/>
            <w:tcMar>
              <w:top w:w="80" w:type="dxa"/>
              <w:start w:w="120" w:type="dxa"/>
              <w:bottom w:w="80" w:type="dxa"/>
              <w:end w:w="120" w:type="dxa"/>
            </w:tcMar>
          </w:tcPr>
          <w:p>
            <w:pPr>
              <w:spacing w:after="0" w:line="240" w:lineRule="auto"/>
              <w:jc w:val="left"/>
            </w:pPr>
            <w:r>
              <w:rPr>
                <w:rFonts w:ascii="Calibri" w:hAnsi="Calibri"/>
                <w:color w:val="203548"/>
                <w:sz w:val="17"/>
              </w:rPr>
              <w:t>RSS/HTML</w:t>
            </w:r>
          </w:p>
        </w:tc>
        <w:tc>
          <w:tcPr>
            <w:tcW w:type="dxa" w:w="1500"/>
            <w:vAlign w:val="center"/>
            <w:tcMar>
              <w:top w:w="80" w:type="dxa"/>
              <w:start w:w="120" w:type="dxa"/>
              <w:bottom w:w="80" w:type="dxa"/>
              <w:end w:w="120" w:type="dxa"/>
            </w:tcMar>
          </w:tcPr>
          <w:p>
            <w:pPr>
              <w:spacing w:after="0" w:line="240" w:lineRule="auto"/>
              <w:jc w:val="center"/>
            </w:pPr>
            <w:r>
              <w:rPr>
                <w:rFonts w:ascii="Calibri" w:hAnsi="Calibri"/>
                <w:color w:val="203548"/>
                <w:sz w:val="17"/>
              </w:rPr>
              <w:t>Web pública</w:t>
            </w:r>
          </w:p>
        </w:tc>
        <w:tc>
          <w:tcPr>
            <w:tcW w:type="dxa" w:w="2450"/>
            <w:vAlign w:val="center"/>
            <w:tcMar>
              <w:top w:w="80" w:type="dxa"/>
              <w:start w:w="120" w:type="dxa"/>
              <w:bottom w:w="80" w:type="dxa"/>
              <w:end w:w="120" w:type="dxa"/>
            </w:tcMar>
          </w:tcPr>
          <w:p>
            <w:pPr>
              <w:spacing w:after="0" w:line="240" w:lineRule="auto"/>
              <w:jc w:val="center"/>
            </w:pPr>
            <w:r>
              <w:rPr>
                <w:rFonts w:ascii="Calibri" w:hAnsi="Calibri"/>
                <w:color w:val="203548"/>
                <w:sz w:val="17"/>
              </w:rPr>
              <w:t>RSS + extracción limitada</w:t>
            </w:r>
          </w:p>
        </w:tc>
        <w:tc>
          <w:tcPr>
            <w:tcW w:type="dxa" w:w="1510"/>
            <w:vAlign w:val="center"/>
            <w:tcMar>
              <w:top w:w="80" w:type="dxa"/>
              <w:start w:w="120" w:type="dxa"/>
              <w:bottom w:w="80" w:type="dxa"/>
              <w:end w:w="120" w:type="dxa"/>
            </w:tcMar>
          </w:tcPr>
          <w:p>
            <w:pPr>
              <w:spacing w:after="0" w:line="240" w:lineRule="auto"/>
              <w:jc w:val="left"/>
            </w:pPr>
            <w:r>
              <w:rPr>
                <w:rFonts w:ascii="Calibri" w:hAnsi="Calibri"/>
                <w:color w:val="203548"/>
                <w:sz w:val="17"/>
              </w:rPr>
              <w:t>Media-alta</w:t>
            </w:r>
          </w:p>
        </w:tc>
      </w:tr>
      <w:tr>
        <w:trPr>
          <w:cantSplit/>
        </w:trPr>
        <w:tc>
          <w:tcPr>
            <w:tcW w:type="dxa" w:w="1600"/>
            <w:vAlign w:val="center"/>
            <w:tcMar>
              <w:top w:w="80" w:type="dxa"/>
              <w:start w:w="120" w:type="dxa"/>
              <w:bottom w:w="80" w:type="dxa"/>
              <w:end w:w="120" w:type="dxa"/>
            </w:tcMar>
          </w:tcPr>
          <w:p>
            <w:pPr>
              <w:spacing w:after="0" w:line="240" w:lineRule="auto"/>
              <w:jc w:val="left"/>
            </w:pPr>
            <w:r>
              <w:rPr>
                <w:rFonts w:ascii="Calibri" w:hAnsi="Calibri"/>
                <w:color w:val="203548"/>
                <w:sz w:val="17"/>
              </w:rPr>
              <w:t>Europa Press</w:t>
            </w:r>
          </w:p>
        </w:tc>
        <w:tc>
          <w:tcPr>
            <w:tcW w:type="dxa" w:w="2300"/>
            <w:vAlign w:val="center"/>
            <w:tcMar>
              <w:top w:w="80" w:type="dxa"/>
              <w:start w:w="120" w:type="dxa"/>
              <w:bottom w:w="80" w:type="dxa"/>
              <w:end w:w="120" w:type="dxa"/>
            </w:tcMar>
          </w:tcPr>
          <w:p>
            <w:pPr>
              <w:spacing w:after="0" w:line="240" w:lineRule="auto"/>
              <w:jc w:val="left"/>
            </w:pPr>
            <w:r>
              <w:rPr>
                <w:rFonts w:ascii="Calibri" w:hAnsi="Calibri"/>
                <w:color w:val="203548"/>
                <w:sz w:val="17"/>
              </w:rPr>
              <w:t>Web temática; feeds profesionales</w:t>
            </w:r>
          </w:p>
        </w:tc>
        <w:tc>
          <w:tcPr>
            <w:tcW w:type="dxa" w:w="1500"/>
            <w:vAlign w:val="center"/>
            <w:tcMar>
              <w:top w:w="80" w:type="dxa"/>
              <w:start w:w="120" w:type="dxa"/>
              <w:bottom w:w="80" w:type="dxa"/>
              <w:end w:w="120" w:type="dxa"/>
            </w:tcMar>
          </w:tcPr>
          <w:p>
            <w:pPr>
              <w:spacing w:after="0" w:line="240" w:lineRule="auto"/>
              <w:jc w:val="center"/>
            </w:pPr>
            <w:r>
              <w:rPr>
                <w:rFonts w:ascii="Calibri" w:hAnsi="Calibri"/>
                <w:color w:val="203548"/>
                <w:sz w:val="17"/>
              </w:rPr>
              <w:t>Web pública / feed de pago</w:t>
            </w:r>
          </w:p>
        </w:tc>
        <w:tc>
          <w:tcPr>
            <w:tcW w:type="dxa" w:w="2450"/>
            <w:vAlign w:val="center"/>
            <w:tcMar>
              <w:top w:w="80" w:type="dxa"/>
              <w:start w:w="120" w:type="dxa"/>
              <w:bottom w:w="80" w:type="dxa"/>
              <w:end w:w="120" w:type="dxa"/>
            </w:tcMar>
          </w:tcPr>
          <w:p>
            <w:pPr>
              <w:spacing w:after="0" w:line="240" w:lineRule="auto"/>
              <w:jc w:val="center"/>
            </w:pPr>
            <w:r>
              <w:rPr>
                <w:rFonts w:ascii="Calibri" w:hAnsi="Calibri"/>
                <w:color w:val="203548"/>
                <w:sz w:val="17"/>
              </w:rPr>
              <w:t>Metadatos + HTML limitado</w:t>
            </w:r>
          </w:p>
        </w:tc>
        <w:tc>
          <w:tcPr>
            <w:tcW w:type="dxa" w:w="1510"/>
            <w:vAlign w:val="center"/>
            <w:tcMar>
              <w:top w:w="80" w:type="dxa"/>
              <w:start w:w="120" w:type="dxa"/>
              <w:bottom w:w="80" w:type="dxa"/>
              <w:end w:w="120" w:type="dxa"/>
            </w:tcMar>
          </w:tcPr>
          <w:p>
            <w:pPr>
              <w:spacing w:after="0" w:line="240" w:lineRule="auto"/>
              <w:jc w:val="left"/>
            </w:pPr>
            <w:r>
              <w:rPr>
                <w:rFonts w:ascii="Calibri" w:hAnsi="Calibri"/>
                <w:color w:val="203548"/>
                <w:sz w:val="17"/>
              </w:rPr>
              <w:t>Media-alta</w:t>
            </w:r>
          </w:p>
        </w:tc>
      </w:tr>
      <w:tr>
        <w:trPr>
          <w:cantSplit/>
        </w:trPr>
        <w:tc>
          <w:tcPr>
            <w:tcW w:type="dxa" w:w="1600"/>
            <w:vAlign w:val="center"/>
            <w:tcMar>
              <w:top w:w="80" w:type="dxa"/>
              <w:start w:w="120" w:type="dxa"/>
              <w:bottom w:w="80" w:type="dxa"/>
              <w:end w:w="120" w:type="dxa"/>
            </w:tcMar>
          </w:tcPr>
          <w:p>
            <w:pPr>
              <w:spacing w:after="0" w:line="240" w:lineRule="auto"/>
              <w:jc w:val="left"/>
            </w:pPr>
            <w:r>
              <w:rPr>
                <w:rFonts w:ascii="Calibri" w:hAnsi="Calibri"/>
                <w:color w:val="203548"/>
                <w:sz w:val="17"/>
              </w:rPr>
              <w:t>Prensa regional</w:t>
            </w:r>
          </w:p>
        </w:tc>
        <w:tc>
          <w:tcPr>
            <w:tcW w:type="dxa" w:w="2300"/>
            <w:vAlign w:val="center"/>
            <w:tcMar>
              <w:top w:w="80" w:type="dxa"/>
              <w:start w:w="120" w:type="dxa"/>
              <w:bottom w:w="80" w:type="dxa"/>
              <w:end w:w="120" w:type="dxa"/>
            </w:tcMar>
          </w:tcPr>
          <w:p>
            <w:pPr>
              <w:spacing w:after="0" w:line="240" w:lineRule="auto"/>
              <w:jc w:val="left"/>
            </w:pPr>
            <w:r>
              <w:rPr>
                <w:rFonts w:ascii="Calibri" w:hAnsi="Calibri"/>
                <w:color w:val="203548"/>
                <w:sz w:val="17"/>
              </w:rPr>
              <w:t>RSS, sitemap o HTML</w:t>
            </w:r>
          </w:p>
        </w:tc>
        <w:tc>
          <w:tcPr>
            <w:tcW w:type="dxa" w:w="1500"/>
            <w:vAlign w:val="center"/>
            <w:tcMar>
              <w:top w:w="80" w:type="dxa"/>
              <w:start w:w="120" w:type="dxa"/>
              <w:bottom w:w="80" w:type="dxa"/>
              <w:end w:w="120" w:type="dxa"/>
            </w:tcMar>
          </w:tcPr>
          <w:p>
            <w:pPr>
              <w:spacing w:after="0" w:line="240" w:lineRule="auto"/>
              <w:jc w:val="center"/>
            </w:pPr>
            <w:r>
              <w:rPr>
                <w:rFonts w:ascii="Calibri" w:hAnsi="Calibri"/>
                <w:color w:val="203548"/>
                <w:sz w:val="17"/>
              </w:rPr>
              <w:t>Variable</w:t>
            </w:r>
          </w:p>
        </w:tc>
        <w:tc>
          <w:tcPr>
            <w:tcW w:type="dxa" w:w="2450"/>
            <w:vAlign w:val="center"/>
            <w:tcMar>
              <w:top w:w="80" w:type="dxa"/>
              <w:start w:w="120" w:type="dxa"/>
              <w:bottom w:w="80" w:type="dxa"/>
              <w:end w:w="120" w:type="dxa"/>
            </w:tcMar>
          </w:tcPr>
          <w:p>
            <w:pPr>
              <w:spacing w:after="0" w:line="240" w:lineRule="auto"/>
              <w:jc w:val="center"/>
            </w:pPr>
            <w:r>
              <w:rPr>
                <w:rFonts w:ascii="Calibri" w:hAnsi="Calibri"/>
                <w:color w:val="203548"/>
                <w:sz w:val="17"/>
              </w:rPr>
              <w:t>Por lista blanca</w:t>
            </w:r>
          </w:p>
        </w:tc>
        <w:tc>
          <w:tcPr>
            <w:tcW w:type="dxa" w:w="1510"/>
            <w:vAlign w:val="center"/>
            <w:tcMar>
              <w:top w:w="80" w:type="dxa"/>
              <w:start w:w="120" w:type="dxa"/>
              <w:bottom w:w="80" w:type="dxa"/>
              <w:end w:w="120" w:type="dxa"/>
            </w:tcMar>
          </w:tcPr>
          <w:p>
            <w:pPr>
              <w:spacing w:after="0" w:line="240" w:lineRule="auto"/>
              <w:jc w:val="left"/>
            </w:pPr>
            <w:r>
              <w:rPr>
                <w:rFonts w:ascii="Calibri" w:hAnsi="Calibri"/>
                <w:color w:val="203548"/>
                <w:sz w:val="17"/>
              </w:rPr>
              <w:t>Media</w:t>
            </w:r>
          </w:p>
        </w:tc>
      </w:tr>
      <w:tr>
        <w:trPr>
          <w:cantSplit/>
        </w:trPr>
        <w:tc>
          <w:tcPr>
            <w:tcW w:type="dxa" w:w="1600"/>
            <w:vAlign w:val="center"/>
            <w:tcMar>
              <w:top w:w="80" w:type="dxa"/>
              <w:start w:w="120" w:type="dxa"/>
              <w:bottom w:w="80" w:type="dxa"/>
              <w:end w:w="120" w:type="dxa"/>
            </w:tcMar>
          </w:tcPr>
          <w:p>
            <w:pPr>
              <w:spacing w:after="0" w:line="240" w:lineRule="auto"/>
              <w:jc w:val="left"/>
            </w:pPr>
            <w:r>
              <w:rPr>
                <w:rFonts w:ascii="Calibri" w:hAnsi="Calibri"/>
                <w:color w:val="203548"/>
                <w:sz w:val="17"/>
              </w:rPr>
              <w:t>Foros meteorológicos</w:t>
            </w:r>
          </w:p>
        </w:tc>
        <w:tc>
          <w:tcPr>
            <w:tcW w:type="dxa" w:w="2300"/>
            <w:vAlign w:val="center"/>
            <w:tcMar>
              <w:top w:w="80" w:type="dxa"/>
              <w:start w:w="120" w:type="dxa"/>
              <w:bottom w:w="80" w:type="dxa"/>
              <w:end w:w="120" w:type="dxa"/>
            </w:tcMar>
          </w:tcPr>
          <w:p>
            <w:pPr>
              <w:spacing w:after="0" w:line="240" w:lineRule="auto"/>
              <w:jc w:val="left"/>
            </w:pPr>
            <w:r>
              <w:rPr>
                <w:rFonts w:ascii="Calibri" w:hAnsi="Calibri"/>
                <w:color w:val="203548"/>
                <w:sz w:val="17"/>
              </w:rPr>
              <w:t>HTML; RSS si existe</w:t>
            </w:r>
          </w:p>
        </w:tc>
        <w:tc>
          <w:tcPr>
            <w:tcW w:type="dxa" w:w="1500"/>
            <w:vAlign w:val="center"/>
            <w:tcMar>
              <w:top w:w="80" w:type="dxa"/>
              <w:start w:w="120" w:type="dxa"/>
              <w:bottom w:w="80" w:type="dxa"/>
              <w:end w:w="120" w:type="dxa"/>
            </w:tcMar>
          </w:tcPr>
          <w:p>
            <w:pPr>
              <w:spacing w:after="0" w:line="240" w:lineRule="auto"/>
              <w:jc w:val="center"/>
            </w:pPr>
            <w:r>
              <w:rPr>
                <w:rFonts w:ascii="Calibri" w:hAnsi="Calibri"/>
                <w:color w:val="203548"/>
                <w:sz w:val="17"/>
              </w:rPr>
              <w:t>Gratuito</w:t>
            </w:r>
          </w:p>
        </w:tc>
        <w:tc>
          <w:tcPr>
            <w:tcW w:type="dxa" w:w="2450"/>
            <w:vAlign w:val="center"/>
            <w:tcMar>
              <w:top w:w="80" w:type="dxa"/>
              <w:start w:w="120" w:type="dxa"/>
              <w:bottom w:w="80" w:type="dxa"/>
              <w:end w:w="120" w:type="dxa"/>
            </w:tcMar>
          </w:tcPr>
          <w:p>
            <w:pPr>
              <w:spacing w:after="0" w:line="240" w:lineRule="auto"/>
              <w:jc w:val="center"/>
            </w:pPr>
            <w:r>
              <w:rPr>
                <w:rFonts w:ascii="Calibri" w:hAnsi="Calibri"/>
                <w:color w:val="203548"/>
                <w:sz w:val="17"/>
              </w:rPr>
              <w:t>Cada 2–6 horas</w:t>
            </w:r>
          </w:p>
        </w:tc>
        <w:tc>
          <w:tcPr>
            <w:tcW w:type="dxa" w:w="1510"/>
            <w:vAlign w:val="center"/>
            <w:tcMar>
              <w:top w:w="80" w:type="dxa"/>
              <w:start w:w="120" w:type="dxa"/>
              <w:bottom w:w="80" w:type="dxa"/>
              <w:end w:w="120" w:type="dxa"/>
            </w:tcMar>
          </w:tcPr>
          <w:p>
            <w:pPr>
              <w:spacing w:after="0" w:line="240" w:lineRule="auto"/>
              <w:jc w:val="left"/>
            </w:pPr>
            <w:r>
              <w:rPr>
                <w:rFonts w:ascii="Calibri" w:hAnsi="Calibri"/>
                <w:color w:val="203548"/>
                <w:sz w:val="17"/>
              </w:rPr>
              <w:t>Baja</w:t>
            </w:r>
          </w:p>
        </w:tc>
      </w:tr>
      <w:tr>
        <w:trPr>
          <w:cantSplit/>
        </w:trPr>
        <w:tc>
          <w:tcPr>
            <w:tcW w:type="dxa" w:w="1600"/>
            <w:vAlign w:val="center"/>
            <w:tcMar>
              <w:top w:w="80" w:type="dxa"/>
              <w:start w:w="120" w:type="dxa"/>
              <w:bottom w:w="80" w:type="dxa"/>
              <w:end w:w="120" w:type="dxa"/>
            </w:tcMar>
          </w:tcPr>
          <w:p>
            <w:pPr>
              <w:spacing w:after="0" w:line="240" w:lineRule="auto"/>
              <w:jc w:val="left"/>
            </w:pPr>
            <w:r>
              <w:rPr>
                <w:rFonts w:ascii="Calibri" w:hAnsi="Calibri"/>
                <w:color w:val="203548"/>
                <w:sz w:val="17"/>
              </w:rPr>
              <w:t>Reddit</w:t>
            </w:r>
          </w:p>
        </w:tc>
        <w:tc>
          <w:tcPr>
            <w:tcW w:type="dxa" w:w="2300"/>
            <w:vAlign w:val="center"/>
            <w:tcMar>
              <w:top w:w="80" w:type="dxa"/>
              <w:start w:w="120" w:type="dxa"/>
              <w:bottom w:w="80" w:type="dxa"/>
              <w:end w:w="120" w:type="dxa"/>
            </w:tcMar>
          </w:tcPr>
          <w:p>
            <w:pPr>
              <w:spacing w:after="0" w:line="240" w:lineRule="auto"/>
              <w:jc w:val="left"/>
            </w:pPr>
            <w:r>
              <w:rPr>
                <w:rFonts w:ascii="Calibri" w:hAnsi="Calibri"/>
                <w:color w:val="203548"/>
                <w:sz w:val="17"/>
              </w:rPr>
              <w:t>API OAuth</w:t>
            </w:r>
          </w:p>
        </w:tc>
        <w:tc>
          <w:tcPr>
            <w:tcW w:type="dxa" w:w="1500"/>
            <w:vAlign w:val="center"/>
            <w:tcMar>
              <w:top w:w="80" w:type="dxa"/>
              <w:start w:w="120" w:type="dxa"/>
              <w:bottom w:w="80" w:type="dxa"/>
              <w:end w:w="120" w:type="dxa"/>
            </w:tcMar>
          </w:tcPr>
          <w:p>
            <w:pPr>
              <w:spacing w:after="0" w:line="240" w:lineRule="auto"/>
              <w:jc w:val="center"/>
            </w:pPr>
            <w:r>
              <w:rPr>
                <w:rFonts w:ascii="Calibri" w:hAnsi="Calibri"/>
                <w:color w:val="203548"/>
                <w:sz w:val="17"/>
              </w:rPr>
              <w:t>Sujeto a condiciones</w:t>
            </w:r>
          </w:p>
        </w:tc>
        <w:tc>
          <w:tcPr>
            <w:tcW w:type="dxa" w:w="2450"/>
            <w:vAlign w:val="center"/>
            <w:tcMar>
              <w:top w:w="80" w:type="dxa"/>
              <w:start w:w="120" w:type="dxa"/>
              <w:bottom w:w="80" w:type="dxa"/>
              <w:end w:w="120" w:type="dxa"/>
            </w:tcMar>
          </w:tcPr>
          <w:p>
            <w:pPr>
              <w:spacing w:after="0" w:line="240" w:lineRule="auto"/>
              <w:jc w:val="center"/>
            </w:pPr>
            <w:r>
              <w:rPr>
                <w:rFonts w:ascii="Calibri" w:hAnsi="Calibri"/>
                <w:color w:val="203548"/>
                <w:sz w:val="17"/>
              </w:rPr>
              <w:t>Sólo si aporta valor</w:t>
            </w:r>
          </w:p>
        </w:tc>
        <w:tc>
          <w:tcPr>
            <w:tcW w:type="dxa" w:w="1510"/>
            <w:vAlign w:val="center"/>
            <w:tcMar>
              <w:top w:w="80" w:type="dxa"/>
              <w:start w:w="120" w:type="dxa"/>
              <w:bottom w:w="80" w:type="dxa"/>
              <w:end w:w="120" w:type="dxa"/>
            </w:tcMar>
          </w:tcPr>
          <w:p>
            <w:pPr>
              <w:spacing w:after="0" w:line="240" w:lineRule="auto"/>
              <w:jc w:val="left"/>
            </w:pPr>
            <w:r>
              <w:rPr>
                <w:rFonts w:ascii="Calibri" w:hAnsi="Calibri"/>
                <w:color w:val="203548"/>
                <w:sz w:val="17"/>
              </w:rPr>
              <w:t>Baja</w:t>
            </w:r>
          </w:p>
        </w:tc>
      </w:tr>
    </w:tbl>
    <w:p>
      <w:pPr>
        <w:spacing w:after="0"/>
      </w:pPr>
    </w:p>
    <w:p>
      <w:pPr>
        <w:pStyle w:val="Heading1"/>
      </w:pPr>
      <w:r>
        <w:t>5. Estrategia de conexión por tecnología</w:t>
      </w:r>
    </w:p>
    <w:p>
      <w:pPr>
        <w:pStyle w:val="Heading2"/>
      </w:pPr>
      <w:r>
        <w:t>5.1 API REST y formatos estructurados</w:t>
      </w:r>
    </w:p>
    <w:p>
      <w:r>
        <w:t>Las API REST se consumirán con un cliente HTTP de servidor, reintentos exponenciales, timeout, caché y paginación. Para AEMET, Meteocat y Euskalmet las credenciales se almacenarán como secretos y nunca en el repositorio. Opendatasoft y Socrata permiten consultas JSON filtradas, evitando descargar datasets completos en cada ejecución.</w:t>
      </w:r>
    </w:p>
    <w:p>
      <w:pPr>
        <w:pStyle w:val="Heading2"/>
      </w:pPr>
      <w:r>
        <w:t>5.2 CAP, RSS y Atom</w:t>
      </w:r>
    </w:p>
    <w:p>
      <w:r>
        <w:t>Los feeds funcionan como índices incrementales. El GUID, la URL y la fecha de actualización permiten detectar novedades. Los mensajes CAP de AEMET se procesarán como alertas estructuradas, no como texto periodístico.</w:t>
      </w:r>
    </w:p>
    <w:p>
      <w:pPr>
        <w:pStyle w:val="Heading2"/>
      </w:pPr>
      <w:r>
        <w:t>5.3 WMS y datos GIS</w:t>
      </w:r>
    </w:p>
    <w:p>
      <w:r>
        <w:t>EFFIS se integrará mediante servicios WMS y descargas geoespaciales. Las consultas se limitarán al polígono de España y sus territorios insulares. Los focos satelitales se etiquetarán como detecciones o anomalías, manteniéndolos separados de incendios confirmados.</w:t>
      </w:r>
    </w:p>
    <w:p>
      <w:pPr>
        <w:pStyle w:val="Heading2"/>
      </w:pPr>
      <w:r>
        <w:t>5.4 PDF y scraping HTML</w:t>
      </w:r>
    </w:p>
    <w:p>
      <w:r>
        <w:t>Los PDF de MITECO se descargarán sólo cuando cambie su hash o cabecera Last-Modified. Para HTML se utilizará extracción estática; Playwright quedará reservado para páginas JavaScript que no expongan una llamada JSON reutilizable y cuya automatización esté permitida.</w:t>
      </w:r>
    </w:p>
    <w:p>
      <w:pPr>
        <w:pStyle w:val="Heading1"/>
      </w:pPr>
      <w:r>
        <w:t>6. Arquitectura propuesta</w:t>
      </w:r>
    </w:p>
    <w:p>
      <w:pPr>
        <w:spacing w:after="100" w:line="264" w:lineRule="auto"/>
        <w:numPr>
          <w:ilvl w:val="0"/>
          <w:numId w:val="11"/>
        </w:numPr>
      </w:pPr>
      <w:r>
        <w:t>Descubrimiento: consultar API, feeds, sitemaps, listados y recursos conocidos.</w:t>
      </w:r>
    </w:p>
    <w:p>
      <w:pPr>
        <w:spacing w:after="100" w:line="264" w:lineRule="auto"/>
        <w:numPr>
          <w:ilvl w:val="0"/>
          <w:numId w:val="11"/>
        </w:numPr>
      </w:pPr>
      <w:r>
        <w:t>Captura: descargar el recurso y conservar una copia original con fecha y hash.</w:t>
      </w:r>
    </w:p>
    <w:p>
      <w:pPr>
        <w:spacing w:after="100" w:line="264" w:lineRule="auto"/>
        <w:numPr>
          <w:ilvl w:val="0"/>
          <w:numId w:val="11"/>
        </w:numPr>
      </w:pPr>
      <w:r>
        <w:t>Normalización: limpiar texto, convertir fechas, identificar idioma y fuente.</w:t>
      </w:r>
    </w:p>
    <w:p>
      <w:pPr>
        <w:spacing w:after="100" w:line="264" w:lineRule="auto"/>
        <w:numPr>
          <w:ilvl w:val="0"/>
          <w:numId w:val="11"/>
        </w:numPr>
      </w:pPr>
      <w:r>
        <w:t>Filtrado: clasificar relevancia temática y comprobar que el evento afecta a España.</w:t>
      </w:r>
    </w:p>
    <w:p>
      <w:pPr>
        <w:spacing w:after="100" w:line="264" w:lineRule="auto"/>
        <w:numPr>
          <w:ilvl w:val="0"/>
          <w:numId w:val="11"/>
        </w:numPr>
      </w:pPr>
      <w:r>
        <w:t>Enriquecimiento: extraer municipio, provincia, estado, severidad, superficie y periodo.</w:t>
      </w:r>
    </w:p>
    <w:p>
      <w:pPr>
        <w:spacing w:after="100" w:line="264" w:lineRule="auto"/>
        <w:numPr>
          <w:ilvl w:val="0"/>
          <w:numId w:val="11"/>
        </w:numPr>
      </w:pPr>
      <w:r>
        <w:t>Resolución de eventos: asociar varias noticias o avisos a un mismo incendio.</w:t>
      </w:r>
    </w:p>
    <w:p>
      <w:pPr>
        <w:spacing w:after="100" w:line="264" w:lineRule="auto"/>
        <w:numPr>
          <w:ilvl w:val="0"/>
          <w:numId w:val="11"/>
        </w:numPr>
      </w:pPr>
      <w:r>
        <w:t>Indexación: generar chunks y embeddings; actualizar búsqueda textual y vectorial.</w:t>
      </w:r>
    </w:p>
    <w:p>
      <w:pPr>
        <w:spacing w:after="100" w:line="264" w:lineRule="auto"/>
        <w:numPr>
          <w:ilvl w:val="0"/>
          <w:numId w:val="11"/>
        </w:numPr>
      </w:pPr>
      <w:r>
        <w:t>Consulta RAG: recuperar con filtros, rerankear y responder con citas y fecha.</w:t>
      </w:r>
    </w:p>
    <w:p>
      <w:pPr>
        <w:pStyle w:val="Heading2"/>
      </w:pPr>
      <w:r>
        <w:t>6.1 Componentes</w:t>
      </w:r>
    </w:p>
    <w:p>
      <w:pPr>
        <w:pStyle w:val="ListBullet"/>
        <w:spacing w:after="80" w:line="264" w:lineRule="auto"/>
      </w:pPr>
      <w:r>
        <w:t>Python: httpx, feedparser, lxml, trafilatura, pdfplumber/PyMuPDF y geopandas.</w:t>
      </w:r>
    </w:p>
    <w:p>
      <w:pPr>
        <w:pStyle w:val="ListBullet"/>
        <w:spacing w:after="80" w:line="264" w:lineRule="auto"/>
      </w:pPr>
      <w:r>
        <w:t>PostgreSQL: documentos, ejecuciones, estado de fuentes y metadatos.</w:t>
      </w:r>
    </w:p>
    <w:p>
      <w:pPr>
        <w:pStyle w:val="ListBullet"/>
        <w:spacing w:after="80" w:line="264" w:lineRule="auto"/>
      </w:pPr>
      <w:r>
        <w:t>PostGIS: geometrías, municipios y comprobación de pertenencia a España.</w:t>
      </w:r>
    </w:p>
    <w:p>
      <w:pPr>
        <w:pStyle w:val="ListBullet"/>
        <w:spacing w:after="80" w:line="264" w:lineRule="auto"/>
      </w:pPr>
      <w:r>
        <w:t>pgvector: embeddings en la misma base de datos.</w:t>
      </w:r>
    </w:p>
    <w:p>
      <w:pPr>
        <w:pStyle w:val="ListBullet"/>
        <w:spacing w:after="80" w:line="264" w:lineRule="auto"/>
      </w:pPr>
      <w:r>
        <w:t>Almacenamiento de originales: sistema de archivos o S3/MinIO.</w:t>
      </w:r>
    </w:p>
    <w:p>
      <w:pPr>
        <w:pStyle w:val="ListBullet"/>
        <w:spacing w:after="80" w:line="264" w:lineRule="auto"/>
      </w:pPr>
      <w:r>
        <w:t>Planificador: cron, APScheduler o Prefect según complejidad.</w:t>
      </w:r>
    </w:p>
    <w:p>
      <w:pPr>
        <w:pStyle w:val="Heading1"/>
      </w:pPr>
      <w:r>
        <w:t>7. Modelo de información</w:t>
      </w:r>
    </w:p>
    <w:p>
      <w:r>
        <w:t>Se deben separar los documentos que describen la realidad de los eventos que representan esa realidad. Un incendio puede tener decenas de actualizaciones contradictorias; conservarlas como documentos independientes y resolverlas sobre un evento común evita perder la evolución.</w:t>
      </w:r>
    </w:p>
    <w:tbl>
      <w:tblPr>
        <w:tblStyle w:val="TableGrid"/>
        <w:tblW w:type="dxa" w:w="9360"/>
        <w:jc w:val="left"/>
        <w:tblLayout w:type="fixed"/>
        <w:tblLook w:firstColumn="1" w:firstRow="1" w:lastColumn="0" w:lastRow="0" w:noHBand="0" w:noVBand="1" w:val="04A0"/>
        <w:tblInd w:w="120" w:type="dxa"/>
      </w:tblPr>
      <w:tblGrid>
        <w:gridCol w:w="1300"/>
        <w:gridCol w:w="5200"/>
        <w:gridCol w:w="2860"/>
      </w:tblGrid>
      <w:tr>
        <w:trPr>
          <w:tblHeader w:val="true"/>
          <w:cantSplit/>
        </w:trPr>
        <w:tc>
          <w:tcPr>
            <w:tcW w:type="dxa" w:w="1300"/>
            <w:shd w:fill="F2F4F7"/>
            <w:vAlign w:val="center"/>
            <w:tcMar>
              <w:top w:w="80" w:type="dxa"/>
              <w:start w:w="120" w:type="dxa"/>
              <w:bottom w:w="80" w:type="dxa"/>
              <w:end w:w="120" w:type="dxa"/>
            </w:tcMar>
          </w:tcPr>
          <w:p>
            <w:pPr>
              <w:spacing w:after="0" w:line="240" w:lineRule="auto"/>
              <w:jc w:val="center"/>
            </w:pPr>
            <w:r>
              <w:rPr>
                <w:rFonts w:ascii="Calibri" w:hAnsi="Calibri"/>
                <w:b/>
                <w:color w:val="203548"/>
                <w:sz w:val="18"/>
              </w:rPr>
              <w:t>Entidad</w:t>
            </w:r>
          </w:p>
        </w:tc>
        <w:tc>
          <w:tcPr>
            <w:tcW w:type="dxa" w:w="5200"/>
            <w:shd w:fill="F2F4F7"/>
            <w:vAlign w:val="center"/>
            <w:tcMar>
              <w:top w:w="80" w:type="dxa"/>
              <w:start w:w="120" w:type="dxa"/>
              <w:bottom w:w="80" w:type="dxa"/>
              <w:end w:w="120" w:type="dxa"/>
            </w:tcMar>
          </w:tcPr>
          <w:p>
            <w:pPr>
              <w:spacing w:after="0" w:line="240" w:lineRule="auto"/>
              <w:jc w:val="center"/>
            </w:pPr>
            <w:r>
              <w:rPr>
                <w:rFonts w:ascii="Calibri" w:hAnsi="Calibri"/>
                <w:b/>
                <w:color w:val="203548"/>
                <w:sz w:val="18"/>
              </w:rPr>
              <w:t>Campos esenciales</w:t>
            </w:r>
          </w:p>
        </w:tc>
        <w:tc>
          <w:tcPr>
            <w:tcW w:type="dxa" w:w="2860"/>
            <w:shd w:fill="F2F4F7"/>
            <w:vAlign w:val="center"/>
            <w:tcMar>
              <w:top w:w="80" w:type="dxa"/>
              <w:start w:w="120" w:type="dxa"/>
              <w:bottom w:w="80" w:type="dxa"/>
              <w:end w:w="120" w:type="dxa"/>
            </w:tcMar>
          </w:tcPr>
          <w:p>
            <w:pPr>
              <w:spacing w:after="0" w:line="240" w:lineRule="auto"/>
              <w:jc w:val="center"/>
            </w:pPr>
            <w:r>
              <w:rPr>
                <w:rFonts w:ascii="Calibri" w:hAnsi="Calibri"/>
                <w:b/>
                <w:color w:val="203548"/>
                <w:sz w:val="18"/>
              </w:rPr>
              <w:t>Finalidad</w:t>
            </w:r>
          </w:p>
        </w:tc>
      </w:tr>
      <w:tr>
        <w:trPr>
          <w:cantSplit/>
        </w:trPr>
        <w:tc>
          <w:tcPr>
            <w:tcW w:type="dxa" w:w="1300"/>
            <w:vAlign w:val="center"/>
            <w:tcMar>
              <w:top w:w="80" w:type="dxa"/>
              <w:start w:w="120" w:type="dxa"/>
              <w:bottom w:w="80" w:type="dxa"/>
              <w:end w:w="120" w:type="dxa"/>
            </w:tcMar>
          </w:tcPr>
          <w:p>
            <w:pPr>
              <w:spacing w:after="0" w:line="240" w:lineRule="auto"/>
              <w:jc w:val="left"/>
            </w:pPr>
            <w:r>
              <w:rPr>
                <w:rFonts w:ascii="Calibri" w:hAnsi="Calibri"/>
                <w:color w:val="203548"/>
                <w:sz w:val="18"/>
              </w:rPr>
              <w:t>Documento</w:t>
            </w:r>
          </w:p>
        </w:tc>
        <w:tc>
          <w:tcPr>
            <w:tcW w:type="dxa" w:w="5200"/>
            <w:vAlign w:val="center"/>
            <w:tcMar>
              <w:top w:w="80" w:type="dxa"/>
              <w:start w:w="120" w:type="dxa"/>
              <w:bottom w:w="80" w:type="dxa"/>
              <w:end w:w="120" w:type="dxa"/>
            </w:tcMar>
          </w:tcPr>
          <w:p>
            <w:pPr>
              <w:spacing w:after="0" w:line="240" w:lineRule="auto"/>
              <w:jc w:val="left"/>
            </w:pPr>
            <w:r>
              <w:rPr>
                <w:rFonts w:ascii="Calibri" w:hAnsi="Calibri"/>
                <w:color w:val="203548"/>
                <w:sz w:val="18"/>
              </w:rPr>
              <w:t>source, URL, title, body, published_at, fetched_at, updated_at, hash, language, trust</w:t>
            </w:r>
          </w:p>
        </w:tc>
        <w:tc>
          <w:tcPr>
            <w:tcW w:type="dxa" w:w="2860"/>
            <w:vAlign w:val="center"/>
            <w:tcMar>
              <w:top w:w="80" w:type="dxa"/>
              <w:start w:w="120" w:type="dxa"/>
              <w:bottom w:w="80" w:type="dxa"/>
              <w:end w:w="120" w:type="dxa"/>
            </w:tcMar>
          </w:tcPr>
          <w:p>
            <w:pPr>
              <w:spacing w:after="0" w:line="240" w:lineRule="auto"/>
              <w:jc w:val="center"/>
            </w:pPr>
            <w:r>
              <w:rPr>
                <w:rFonts w:ascii="Calibri" w:hAnsi="Calibri"/>
                <w:color w:val="203548"/>
                <w:sz w:val="18"/>
              </w:rPr>
              <w:t>Unidad de evidencia y citación</w:t>
            </w:r>
          </w:p>
        </w:tc>
      </w:tr>
      <w:tr>
        <w:trPr>
          <w:cantSplit/>
        </w:trPr>
        <w:tc>
          <w:tcPr>
            <w:tcW w:type="dxa" w:w="1300"/>
            <w:vAlign w:val="center"/>
            <w:tcMar>
              <w:top w:w="80" w:type="dxa"/>
              <w:start w:w="120" w:type="dxa"/>
              <w:bottom w:w="80" w:type="dxa"/>
              <w:end w:w="120" w:type="dxa"/>
            </w:tcMar>
          </w:tcPr>
          <w:p>
            <w:pPr>
              <w:spacing w:after="0" w:line="240" w:lineRule="auto"/>
              <w:jc w:val="left"/>
            </w:pPr>
            <w:r>
              <w:rPr>
                <w:rFonts w:ascii="Calibri" w:hAnsi="Calibri"/>
                <w:color w:val="203548"/>
                <w:sz w:val="18"/>
              </w:rPr>
              <w:t>Evento</w:t>
            </w:r>
          </w:p>
        </w:tc>
        <w:tc>
          <w:tcPr>
            <w:tcW w:type="dxa" w:w="5200"/>
            <w:vAlign w:val="center"/>
            <w:tcMar>
              <w:top w:w="80" w:type="dxa"/>
              <w:start w:w="120" w:type="dxa"/>
              <w:bottom w:w="80" w:type="dxa"/>
              <w:end w:w="120" w:type="dxa"/>
            </w:tcMar>
          </w:tcPr>
          <w:p>
            <w:pPr>
              <w:spacing w:after="0" w:line="240" w:lineRule="auto"/>
              <w:jc w:val="left"/>
            </w:pPr>
            <w:r>
              <w:rPr>
                <w:rFonts w:ascii="Calibri" w:hAnsi="Calibri"/>
                <w:color w:val="203548"/>
                <w:sz w:val="18"/>
              </w:rPr>
              <w:t>type, name, municipality, province, geometry, start/end, status, severity, area_ha</w:t>
            </w:r>
          </w:p>
        </w:tc>
        <w:tc>
          <w:tcPr>
            <w:tcW w:type="dxa" w:w="2860"/>
            <w:vAlign w:val="center"/>
            <w:tcMar>
              <w:top w:w="80" w:type="dxa"/>
              <w:start w:w="120" w:type="dxa"/>
              <w:bottom w:w="80" w:type="dxa"/>
              <w:end w:w="120" w:type="dxa"/>
            </w:tcMar>
          </w:tcPr>
          <w:p>
            <w:pPr>
              <w:spacing w:after="0" w:line="240" w:lineRule="auto"/>
              <w:jc w:val="center"/>
            </w:pPr>
            <w:r>
              <w:rPr>
                <w:rFonts w:ascii="Calibri" w:hAnsi="Calibri"/>
                <w:color w:val="203548"/>
                <w:sz w:val="18"/>
              </w:rPr>
              <w:t>Representar incendio o episodio meteorológico</w:t>
            </w:r>
          </w:p>
        </w:tc>
      </w:tr>
      <w:tr>
        <w:trPr>
          <w:cantSplit/>
        </w:trPr>
        <w:tc>
          <w:tcPr>
            <w:tcW w:type="dxa" w:w="1300"/>
            <w:vAlign w:val="center"/>
            <w:tcMar>
              <w:top w:w="80" w:type="dxa"/>
              <w:start w:w="120" w:type="dxa"/>
              <w:bottom w:w="80" w:type="dxa"/>
              <w:end w:w="120" w:type="dxa"/>
            </w:tcMar>
          </w:tcPr>
          <w:p>
            <w:pPr>
              <w:spacing w:after="0" w:line="240" w:lineRule="auto"/>
              <w:jc w:val="left"/>
            </w:pPr>
            <w:r>
              <w:rPr>
                <w:rFonts w:ascii="Calibri" w:hAnsi="Calibri"/>
                <w:color w:val="203548"/>
                <w:sz w:val="18"/>
              </w:rPr>
              <w:t>Observación</w:t>
            </w:r>
          </w:p>
        </w:tc>
        <w:tc>
          <w:tcPr>
            <w:tcW w:type="dxa" w:w="5200"/>
            <w:vAlign w:val="center"/>
            <w:tcMar>
              <w:top w:w="80" w:type="dxa"/>
              <w:start w:w="120" w:type="dxa"/>
              <w:bottom w:w="80" w:type="dxa"/>
              <w:end w:w="120" w:type="dxa"/>
            </w:tcMar>
          </w:tcPr>
          <w:p>
            <w:pPr>
              <w:spacing w:after="0" w:line="240" w:lineRule="auto"/>
              <w:jc w:val="left"/>
            </w:pPr>
            <w:r>
              <w:rPr>
                <w:rFonts w:ascii="Calibri" w:hAnsi="Calibri"/>
                <w:color w:val="203548"/>
                <w:sz w:val="18"/>
              </w:rPr>
              <w:t>event_id, document_id, field, value, observed_at, confidence</w:t>
            </w:r>
          </w:p>
        </w:tc>
        <w:tc>
          <w:tcPr>
            <w:tcW w:type="dxa" w:w="2860"/>
            <w:vAlign w:val="center"/>
            <w:tcMar>
              <w:top w:w="80" w:type="dxa"/>
              <w:start w:w="120" w:type="dxa"/>
              <w:bottom w:w="80" w:type="dxa"/>
              <w:end w:w="120" w:type="dxa"/>
            </w:tcMar>
          </w:tcPr>
          <w:p>
            <w:pPr>
              <w:spacing w:after="0" w:line="240" w:lineRule="auto"/>
              <w:jc w:val="center"/>
            </w:pPr>
            <w:r>
              <w:rPr>
                <w:rFonts w:ascii="Calibri" w:hAnsi="Calibri"/>
                <w:color w:val="203548"/>
                <w:sz w:val="18"/>
              </w:rPr>
              <w:t>Mantener versiones y discrepancias</w:t>
            </w:r>
          </w:p>
        </w:tc>
      </w:tr>
      <w:tr>
        <w:trPr>
          <w:cantSplit/>
        </w:trPr>
        <w:tc>
          <w:tcPr>
            <w:tcW w:type="dxa" w:w="1300"/>
            <w:vAlign w:val="center"/>
            <w:tcMar>
              <w:top w:w="80" w:type="dxa"/>
              <w:start w:w="120" w:type="dxa"/>
              <w:bottom w:w="80" w:type="dxa"/>
              <w:end w:w="120" w:type="dxa"/>
            </w:tcMar>
          </w:tcPr>
          <w:p>
            <w:pPr>
              <w:spacing w:after="0" w:line="240" w:lineRule="auto"/>
              <w:jc w:val="left"/>
            </w:pPr>
            <w:r>
              <w:rPr>
                <w:rFonts w:ascii="Calibri" w:hAnsi="Calibri"/>
                <w:color w:val="203548"/>
                <w:sz w:val="18"/>
              </w:rPr>
              <w:t>Ejecución</w:t>
            </w:r>
          </w:p>
        </w:tc>
        <w:tc>
          <w:tcPr>
            <w:tcW w:type="dxa" w:w="5200"/>
            <w:vAlign w:val="center"/>
            <w:tcMar>
              <w:top w:w="80" w:type="dxa"/>
              <w:start w:w="120" w:type="dxa"/>
              <w:bottom w:w="80" w:type="dxa"/>
              <w:end w:w="120" w:type="dxa"/>
            </w:tcMar>
          </w:tcPr>
          <w:p>
            <w:pPr>
              <w:spacing w:after="0" w:line="240" w:lineRule="auto"/>
              <w:jc w:val="left"/>
            </w:pPr>
            <w:r>
              <w:rPr>
                <w:rFonts w:ascii="Calibri" w:hAnsi="Calibri"/>
                <w:color w:val="203548"/>
                <w:sz w:val="18"/>
              </w:rPr>
              <w:t>source_id, started_at, status, HTTP code, records, error, latency</w:t>
            </w:r>
          </w:p>
        </w:tc>
        <w:tc>
          <w:tcPr>
            <w:tcW w:type="dxa" w:w="2860"/>
            <w:vAlign w:val="center"/>
            <w:tcMar>
              <w:top w:w="80" w:type="dxa"/>
              <w:start w:w="120" w:type="dxa"/>
              <w:bottom w:w="80" w:type="dxa"/>
              <w:end w:w="120" w:type="dxa"/>
            </w:tcMar>
          </w:tcPr>
          <w:p>
            <w:pPr>
              <w:spacing w:after="0" w:line="240" w:lineRule="auto"/>
              <w:jc w:val="center"/>
            </w:pPr>
            <w:r>
              <w:rPr>
                <w:rFonts w:ascii="Calibri" w:hAnsi="Calibri"/>
                <w:color w:val="203548"/>
                <w:sz w:val="18"/>
              </w:rPr>
              <w:t>Monitorizar salud y frescura</w:t>
            </w:r>
          </w:p>
        </w:tc>
      </w:tr>
    </w:tbl>
    <w:p>
      <w:pPr>
        <w:spacing w:after="0"/>
      </w:pPr>
    </w:p>
    <w:p>
      <w:pPr>
        <w:pStyle w:val="Heading1"/>
      </w:pPr>
      <w:r>
        <w:t>8. Frecuencia de actualización</w:t>
      </w:r>
    </w:p>
    <w:tbl>
      <w:tblPr>
        <w:tblStyle w:val="TableGrid"/>
        <w:tblW w:type="dxa" w:w="9360"/>
        <w:jc w:val="left"/>
        <w:tblLayout w:type="fixed"/>
        <w:tblLook w:firstColumn="1" w:firstRow="1" w:lastColumn="0" w:lastRow="0" w:noHBand="0" w:noVBand="1" w:val="04A0"/>
        <w:tblInd w:w="120" w:type="dxa"/>
      </w:tblPr>
      <w:tblGrid>
        <w:gridCol w:w="2200"/>
        <w:gridCol w:w="2350"/>
        <w:gridCol w:w="4810"/>
      </w:tblGrid>
      <w:tr>
        <w:trPr>
          <w:tblHeader w:val="true"/>
          <w:cantSplit/>
        </w:trPr>
        <w:tc>
          <w:tcPr>
            <w:tcW w:type="dxa" w:w="2200"/>
            <w:shd w:fill="F2F4F7"/>
            <w:vAlign w:val="center"/>
            <w:tcMar>
              <w:top w:w="80" w:type="dxa"/>
              <w:start w:w="120" w:type="dxa"/>
              <w:bottom w:w="80" w:type="dxa"/>
              <w:end w:w="120" w:type="dxa"/>
            </w:tcMar>
          </w:tcPr>
          <w:p>
            <w:pPr>
              <w:spacing w:after="0" w:line="240" w:lineRule="auto"/>
              <w:jc w:val="center"/>
            </w:pPr>
            <w:r>
              <w:rPr>
                <w:rFonts w:ascii="Calibri" w:hAnsi="Calibri"/>
                <w:b/>
                <w:color w:val="203548"/>
                <w:sz w:val="18"/>
              </w:rPr>
              <w:t>Canal</w:t>
            </w:r>
          </w:p>
        </w:tc>
        <w:tc>
          <w:tcPr>
            <w:tcW w:type="dxa" w:w="2350"/>
            <w:shd w:fill="F2F4F7"/>
            <w:vAlign w:val="center"/>
            <w:tcMar>
              <w:top w:w="80" w:type="dxa"/>
              <w:start w:w="120" w:type="dxa"/>
              <w:bottom w:w="80" w:type="dxa"/>
              <w:end w:w="120" w:type="dxa"/>
            </w:tcMar>
          </w:tcPr>
          <w:p>
            <w:pPr>
              <w:spacing w:after="0" w:line="240" w:lineRule="auto"/>
              <w:jc w:val="center"/>
            </w:pPr>
            <w:r>
              <w:rPr>
                <w:rFonts w:ascii="Calibri" w:hAnsi="Calibri"/>
                <w:b/>
                <w:color w:val="203548"/>
                <w:sz w:val="18"/>
              </w:rPr>
              <w:t>Frecuencia sugerida</w:t>
            </w:r>
          </w:p>
        </w:tc>
        <w:tc>
          <w:tcPr>
            <w:tcW w:type="dxa" w:w="4810"/>
            <w:shd w:fill="F2F4F7"/>
            <w:vAlign w:val="center"/>
            <w:tcMar>
              <w:top w:w="80" w:type="dxa"/>
              <w:start w:w="120" w:type="dxa"/>
              <w:bottom w:w="80" w:type="dxa"/>
              <w:end w:w="120" w:type="dxa"/>
            </w:tcMar>
          </w:tcPr>
          <w:p>
            <w:pPr>
              <w:spacing w:after="0" w:line="240" w:lineRule="auto"/>
              <w:jc w:val="center"/>
            </w:pPr>
            <w:r>
              <w:rPr>
                <w:rFonts w:ascii="Calibri" w:hAnsi="Calibri"/>
                <w:b/>
                <w:color w:val="203548"/>
                <w:sz w:val="18"/>
              </w:rPr>
              <w:t>Motivo</w:t>
            </w:r>
          </w:p>
        </w:tc>
      </w:tr>
      <w:tr>
        <w:trPr>
          <w:cantSplit/>
        </w:trPr>
        <w:tc>
          <w:tcPr>
            <w:tcW w:type="dxa" w:w="2200"/>
            <w:vAlign w:val="center"/>
            <w:tcMar>
              <w:top w:w="80" w:type="dxa"/>
              <w:start w:w="120" w:type="dxa"/>
              <w:bottom w:w="80" w:type="dxa"/>
              <w:end w:w="120" w:type="dxa"/>
            </w:tcMar>
          </w:tcPr>
          <w:p>
            <w:pPr>
              <w:spacing w:after="0" w:line="240" w:lineRule="auto"/>
              <w:jc w:val="left"/>
            </w:pPr>
            <w:r>
              <w:rPr>
                <w:rFonts w:ascii="Calibri" w:hAnsi="Calibri"/>
                <w:color w:val="203548"/>
                <w:sz w:val="18"/>
              </w:rPr>
              <w:t>AEMET CAP</w:t>
            </w:r>
          </w:p>
        </w:tc>
        <w:tc>
          <w:tcPr>
            <w:tcW w:type="dxa" w:w="2350"/>
            <w:vAlign w:val="center"/>
            <w:tcMar>
              <w:top w:w="80" w:type="dxa"/>
              <w:start w:w="120" w:type="dxa"/>
              <w:bottom w:w="80" w:type="dxa"/>
              <w:end w:w="120" w:type="dxa"/>
            </w:tcMar>
          </w:tcPr>
          <w:p>
            <w:pPr>
              <w:spacing w:after="0" w:line="240" w:lineRule="auto"/>
              <w:jc w:val="left"/>
            </w:pPr>
            <w:r>
              <w:rPr>
                <w:rFonts w:ascii="Calibri" w:hAnsi="Calibri"/>
                <w:color w:val="203548"/>
                <w:sz w:val="18"/>
              </w:rPr>
              <w:t>5–10 minutos</w:t>
            </w:r>
          </w:p>
        </w:tc>
        <w:tc>
          <w:tcPr>
            <w:tcW w:type="dxa" w:w="4810"/>
            <w:vAlign w:val="center"/>
            <w:tcMar>
              <w:top w:w="80" w:type="dxa"/>
              <w:start w:w="120" w:type="dxa"/>
              <w:bottom w:w="80" w:type="dxa"/>
              <w:end w:w="120" w:type="dxa"/>
            </w:tcMar>
          </w:tcPr>
          <w:p>
            <w:pPr>
              <w:spacing w:after="0" w:line="240" w:lineRule="auto"/>
              <w:jc w:val="center"/>
            </w:pPr>
            <w:r>
              <w:rPr>
                <w:rFonts w:ascii="Calibri" w:hAnsi="Calibri"/>
                <w:color w:val="203548"/>
                <w:sz w:val="18"/>
              </w:rPr>
              <w:t>Los avisos pueden cambiar durante el episodio</w:t>
            </w:r>
          </w:p>
        </w:tc>
      </w:tr>
      <w:tr>
        <w:trPr>
          <w:cantSplit/>
        </w:trPr>
        <w:tc>
          <w:tcPr>
            <w:tcW w:type="dxa" w:w="2200"/>
            <w:vAlign w:val="center"/>
            <w:tcMar>
              <w:top w:w="80" w:type="dxa"/>
              <w:start w:w="120" w:type="dxa"/>
              <w:bottom w:w="80" w:type="dxa"/>
              <w:end w:w="120" w:type="dxa"/>
            </w:tcMar>
          </w:tcPr>
          <w:p>
            <w:pPr>
              <w:spacing w:after="0" w:line="240" w:lineRule="auto"/>
              <w:jc w:val="left"/>
            </w:pPr>
            <w:r>
              <w:rPr>
                <w:rFonts w:ascii="Calibri" w:hAnsi="Calibri"/>
                <w:color w:val="203548"/>
                <w:sz w:val="18"/>
              </w:rPr>
              <w:t>Incendios autonómicos</w:t>
            </w:r>
          </w:p>
        </w:tc>
        <w:tc>
          <w:tcPr>
            <w:tcW w:type="dxa" w:w="2350"/>
            <w:vAlign w:val="center"/>
            <w:tcMar>
              <w:top w:w="80" w:type="dxa"/>
              <w:start w:w="120" w:type="dxa"/>
              <w:bottom w:w="80" w:type="dxa"/>
              <w:end w:w="120" w:type="dxa"/>
            </w:tcMar>
          </w:tcPr>
          <w:p>
            <w:pPr>
              <w:spacing w:after="0" w:line="240" w:lineRule="auto"/>
              <w:jc w:val="left"/>
            </w:pPr>
            <w:r>
              <w:rPr>
                <w:rFonts w:ascii="Calibri" w:hAnsi="Calibri"/>
                <w:color w:val="203548"/>
                <w:sz w:val="18"/>
              </w:rPr>
              <w:t>10–30 minutos en campaña</w:t>
            </w:r>
          </w:p>
        </w:tc>
        <w:tc>
          <w:tcPr>
            <w:tcW w:type="dxa" w:w="4810"/>
            <w:vAlign w:val="center"/>
            <w:tcMar>
              <w:top w:w="80" w:type="dxa"/>
              <w:start w:w="120" w:type="dxa"/>
              <w:bottom w:w="80" w:type="dxa"/>
              <w:end w:w="120" w:type="dxa"/>
            </w:tcMar>
          </w:tcPr>
          <w:p>
            <w:pPr>
              <w:spacing w:after="0" w:line="240" w:lineRule="auto"/>
              <w:jc w:val="center"/>
            </w:pPr>
            <w:r>
              <w:rPr>
                <w:rFonts w:ascii="Calibri" w:hAnsi="Calibri"/>
                <w:color w:val="203548"/>
                <w:sz w:val="18"/>
              </w:rPr>
              <w:t>Fuente operativa más próxima</w:t>
            </w:r>
          </w:p>
        </w:tc>
      </w:tr>
      <w:tr>
        <w:trPr>
          <w:cantSplit/>
        </w:trPr>
        <w:tc>
          <w:tcPr>
            <w:tcW w:type="dxa" w:w="2200"/>
            <w:vAlign w:val="center"/>
            <w:tcMar>
              <w:top w:w="80" w:type="dxa"/>
              <w:start w:w="120" w:type="dxa"/>
              <w:bottom w:w="80" w:type="dxa"/>
              <w:end w:w="120" w:type="dxa"/>
            </w:tcMar>
          </w:tcPr>
          <w:p>
            <w:pPr>
              <w:spacing w:after="0" w:line="240" w:lineRule="auto"/>
              <w:jc w:val="left"/>
            </w:pPr>
            <w:r>
              <w:rPr>
                <w:rFonts w:ascii="Calibri" w:hAnsi="Calibri"/>
                <w:color w:val="203548"/>
                <w:sz w:val="18"/>
              </w:rPr>
              <w:t>MITECO</w:t>
            </w:r>
          </w:p>
        </w:tc>
        <w:tc>
          <w:tcPr>
            <w:tcW w:type="dxa" w:w="2350"/>
            <w:vAlign w:val="center"/>
            <w:tcMar>
              <w:top w:w="80" w:type="dxa"/>
              <w:start w:w="120" w:type="dxa"/>
              <w:bottom w:w="80" w:type="dxa"/>
              <w:end w:w="120" w:type="dxa"/>
            </w:tcMar>
          </w:tcPr>
          <w:p>
            <w:pPr>
              <w:spacing w:after="0" w:line="240" w:lineRule="auto"/>
              <w:jc w:val="left"/>
            </w:pPr>
            <w:r>
              <w:rPr>
                <w:rFonts w:ascii="Calibri" w:hAnsi="Calibri"/>
                <w:color w:val="203548"/>
                <w:sz w:val="18"/>
              </w:rPr>
              <w:t>30–60 minutos</w:t>
            </w:r>
          </w:p>
        </w:tc>
        <w:tc>
          <w:tcPr>
            <w:tcW w:type="dxa" w:w="4810"/>
            <w:vAlign w:val="center"/>
            <w:tcMar>
              <w:top w:w="80" w:type="dxa"/>
              <w:start w:w="120" w:type="dxa"/>
              <w:bottom w:w="80" w:type="dxa"/>
              <w:end w:w="120" w:type="dxa"/>
            </w:tcMar>
          </w:tcPr>
          <w:p>
            <w:pPr>
              <w:spacing w:after="0" w:line="240" w:lineRule="auto"/>
              <w:jc w:val="center"/>
            </w:pPr>
            <w:r>
              <w:rPr>
                <w:rFonts w:ascii="Calibri" w:hAnsi="Calibri"/>
                <w:color w:val="203548"/>
                <w:sz w:val="18"/>
              </w:rPr>
              <w:t>Parte provisional y consolidación diaria</w:t>
            </w:r>
          </w:p>
        </w:tc>
      </w:tr>
      <w:tr>
        <w:trPr>
          <w:cantSplit/>
        </w:trPr>
        <w:tc>
          <w:tcPr>
            <w:tcW w:type="dxa" w:w="2200"/>
            <w:vAlign w:val="center"/>
            <w:tcMar>
              <w:top w:w="80" w:type="dxa"/>
              <w:start w:w="120" w:type="dxa"/>
              <w:bottom w:w="80" w:type="dxa"/>
              <w:end w:w="120" w:type="dxa"/>
            </w:tcMar>
          </w:tcPr>
          <w:p>
            <w:pPr>
              <w:spacing w:after="0" w:line="240" w:lineRule="auto"/>
              <w:jc w:val="left"/>
            </w:pPr>
            <w:r>
              <w:rPr>
                <w:rFonts w:ascii="Calibri" w:hAnsi="Calibri"/>
                <w:color w:val="203548"/>
                <w:sz w:val="18"/>
              </w:rPr>
              <w:t>RSS/noticias</w:t>
            </w:r>
          </w:p>
        </w:tc>
        <w:tc>
          <w:tcPr>
            <w:tcW w:type="dxa" w:w="2350"/>
            <w:vAlign w:val="center"/>
            <w:tcMar>
              <w:top w:w="80" w:type="dxa"/>
              <w:start w:w="120" w:type="dxa"/>
              <w:bottom w:w="80" w:type="dxa"/>
              <w:end w:w="120" w:type="dxa"/>
            </w:tcMar>
          </w:tcPr>
          <w:p>
            <w:pPr>
              <w:spacing w:after="0" w:line="240" w:lineRule="auto"/>
              <w:jc w:val="left"/>
            </w:pPr>
            <w:r>
              <w:rPr>
                <w:rFonts w:ascii="Calibri" w:hAnsi="Calibri"/>
                <w:color w:val="203548"/>
                <w:sz w:val="18"/>
              </w:rPr>
              <w:t>20–30 minutos</w:t>
            </w:r>
          </w:p>
        </w:tc>
        <w:tc>
          <w:tcPr>
            <w:tcW w:type="dxa" w:w="4810"/>
            <w:vAlign w:val="center"/>
            <w:tcMar>
              <w:top w:w="80" w:type="dxa"/>
              <w:start w:w="120" w:type="dxa"/>
              <w:bottom w:w="80" w:type="dxa"/>
              <w:end w:w="120" w:type="dxa"/>
            </w:tcMar>
          </w:tcPr>
          <w:p>
            <w:pPr>
              <w:spacing w:after="0" w:line="240" w:lineRule="auto"/>
              <w:jc w:val="center"/>
            </w:pPr>
            <w:r>
              <w:rPr>
                <w:rFonts w:ascii="Calibri" w:hAnsi="Calibri"/>
                <w:color w:val="203548"/>
                <w:sz w:val="18"/>
              </w:rPr>
              <w:t>Equilibrio entre frescura y carga</w:t>
            </w:r>
          </w:p>
        </w:tc>
      </w:tr>
      <w:tr>
        <w:trPr>
          <w:cantSplit/>
        </w:trPr>
        <w:tc>
          <w:tcPr>
            <w:tcW w:type="dxa" w:w="2200"/>
            <w:vAlign w:val="center"/>
            <w:tcMar>
              <w:top w:w="80" w:type="dxa"/>
              <w:start w:w="120" w:type="dxa"/>
              <w:bottom w:w="80" w:type="dxa"/>
              <w:end w:w="120" w:type="dxa"/>
            </w:tcMar>
          </w:tcPr>
          <w:p>
            <w:pPr>
              <w:spacing w:after="0" w:line="240" w:lineRule="auto"/>
              <w:jc w:val="left"/>
            </w:pPr>
            <w:r>
              <w:rPr>
                <w:rFonts w:ascii="Calibri" w:hAnsi="Calibri"/>
                <w:color w:val="203548"/>
                <w:sz w:val="18"/>
              </w:rPr>
              <w:t>Foros</w:t>
            </w:r>
          </w:p>
        </w:tc>
        <w:tc>
          <w:tcPr>
            <w:tcW w:type="dxa" w:w="2350"/>
            <w:vAlign w:val="center"/>
            <w:tcMar>
              <w:top w:w="80" w:type="dxa"/>
              <w:start w:w="120" w:type="dxa"/>
              <w:bottom w:w="80" w:type="dxa"/>
              <w:end w:w="120" w:type="dxa"/>
            </w:tcMar>
          </w:tcPr>
          <w:p>
            <w:pPr>
              <w:spacing w:after="0" w:line="240" w:lineRule="auto"/>
              <w:jc w:val="left"/>
            </w:pPr>
            <w:r>
              <w:rPr>
                <w:rFonts w:ascii="Calibri" w:hAnsi="Calibri"/>
                <w:color w:val="203548"/>
                <w:sz w:val="18"/>
              </w:rPr>
              <w:t>2–6 horas</w:t>
            </w:r>
          </w:p>
        </w:tc>
        <w:tc>
          <w:tcPr>
            <w:tcW w:type="dxa" w:w="4810"/>
            <w:vAlign w:val="center"/>
            <w:tcMar>
              <w:top w:w="80" w:type="dxa"/>
              <w:start w:w="120" w:type="dxa"/>
              <w:bottom w:w="80" w:type="dxa"/>
              <w:end w:w="120" w:type="dxa"/>
            </w:tcMar>
          </w:tcPr>
          <w:p>
            <w:pPr>
              <w:spacing w:after="0" w:line="240" w:lineRule="auto"/>
              <w:jc w:val="center"/>
            </w:pPr>
            <w:r>
              <w:rPr>
                <w:rFonts w:ascii="Calibri" w:hAnsi="Calibri"/>
                <w:color w:val="203548"/>
                <w:sz w:val="18"/>
              </w:rPr>
              <w:t>Señal secundaria y no operativa</w:t>
            </w:r>
          </w:p>
        </w:tc>
      </w:tr>
      <w:tr>
        <w:trPr>
          <w:cantSplit/>
        </w:trPr>
        <w:tc>
          <w:tcPr>
            <w:tcW w:type="dxa" w:w="2200"/>
            <w:vAlign w:val="center"/>
            <w:tcMar>
              <w:top w:w="80" w:type="dxa"/>
              <w:start w:w="120" w:type="dxa"/>
              <w:bottom w:w="80" w:type="dxa"/>
              <w:end w:w="120" w:type="dxa"/>
            </w:tcMar>
          </w:tcPr>
          <w:p>
            <w:pPr>
              <w:spacing w:after="0" w:line="240" w:lineRule="auto"/>
              <w:jc w:val="left"/>
            </w:pPr>
            <w:r>
              <w:rPr>
                <w:rFonts w:ascii="Calibri" w:hAnsi="Calibri"/>
                <w:color w:val="203548"/>
                <w:sz w:val="18"/>
              </w:rPr>
              <w:t>Reconciliación</w:t>
            </w:r>
          </w:p>
        </w:tc>
        <w:tc>
          <w:tcPr>
            <w:tcW w:type="dxa" w:w="2350"/>
            <w:vAlign w:val="center"/>
            <w:tcMar>
              <w:top w:w="80" w:type="dxa"/>
              <w:start w:w="120" w:type="dxa"/>
              <w:bottom w:w="80" w:type="dxa"/>
              <w:end w:w="120" w:type="dxa"/>
            </w:tcMar>
          </w:tcPr>
          <w:p>
            <w:pPr>
              <w:spacing w:after="0" w:line="240" w:lineRule="auto"/>
              <w:jc w:val="left"/>
            </w:pPr>
            <w:r>
              <w:rPr>
                <w:rFonts w:ascii="Calibri" w:hAnsi="Calibri"/>
                <w:color w:val="203548"/>
                <w:sz w:val="18"/>
              </w:rPr>
              <w:t>Cada noche</w:t>
            </w:r>
          </w:p>
        </w:tc>
        <w:tc>
          <w:tcPr>
            <w:tcW w:type="dxa" w:w="4810"/>
            <w:vAlign w:val="center"/>
            <w:tcMar>
              <w:top w:w="80" w:type="dxa"/>
              <w:start w:w="120" w:type="dxa"/>
              <w:bottom w:w="80" w:type="dxa"/>
              <w:end w:w="120" w:type="dxa"/>
            </w:tcMar>
          </w:tcPr>
          <w:p>
            <w:pPr>
              <w:spacing w:after="0" w:line="240" w:lineRule="auto"/>
              <w:jc w:val="center"/>
            </w:pPr>
            <w:r>
              <w:rPr>
                <w:rFonts w:ascii="Calibri" w:hAnsi="Calibri"/>
                <w:color w:val="203548"/>
                <w:sz w:val="18"/>
              </w:rPr>
              <w:t>Reintentos, expiración, duplicados y reindexado</w:t>
            </w:r>
          </w:p>
        </w:tc>
      </w:tr>
      <w:tr>
        <w:trPr>
          <w:cantSplit/>
        </w:trPr>
        <w:tc>
          <w:tcPr>
            <w:tcW w:type="dxa" w:w="2200"/>
            <w:vAlign w:val="center"/>
            <w:tcMar>
              <w:top w:w="80" w:type="dxa"/>
              <w:start w:w="120" w:type="dxa"/>
              <w:bottom w:w="80" w:type="dxa"/>
              <w:end w:w="120" w:type="dxa"/>
            </w:tcMar>
          </w:tcPr>
          <w:p>
            <w:pPr>
              <w:spacing w:after="0" w:line="240" w:lineRule="auto"/>
              <w:jc w:val="left"/>
            </w:pPr>
            <w:r>
              <w:rPr>
                <w:rFonts w:ascii="Calibri" w:hAnsi="Calibri"/>
                <w:color w:val="203548"/>
                <w:sz w:val="18"/>
              </w:rPr>
              <w:t>EGIF/histórico</w:t>
            </w:r>
          </w:p>
        </w:tc>
        <w:tc>
          <w:tcPr>
            <w:tcW w:type="dxa" w:w="2350"/>
            <w:vAlign w:val="center"/>
            <w:tcMar>
              <w:top w:w="80" w:type="dxa"/>
              <w:start w:w="120" w:type="dxa"/>
              <w:bottom w:w="80" w:type="dxa"/>
              <w:end w:w="120" w:type="dxa"/>
            </w:tcMar>
          </w:tcPr>
          <w:p>
            <w:pPr>
              <w:spacing w:after="0" w:line="240" w:lineRule="auto"/>
              <w:jc w:val="left"/>
            </w:pPr>
            <w:r>
              <w:rPr>
                <w:rFonts w:ascii="Calibri" w:hAnsi="Calibri"/>
                <w:color w:val="203548"/>
                <w:sz w:val="18"/>
              </w:rPr>
              <w:t>Mensual o bajo demanda</w:t>
            </w:r>
          </w:p>
        </w:tc>
        <w:tc>
          <w:tcPr>
            <w:tcW w:type="dxa" w:w="4810"/>
            <w:vAlign w:val="center"/>
            <w:tcMar>
              <w:top w:w="80" w:type="dxa"/>
              <w:start w:w="120" w:type="dxa"/>
              <w:bottom w:w="80" w:type="dxa"/>
              <w:end w:w="120" w:type="dxa"/>
            </w:tcMar>
          </w:tcPr>
          <w:p>
            <w:pPr>
              <w:spacing w:after="0" w:line="240" w:lineRule="auto"/>
              <w:jc w:val="center"/>
            </w:pPr>
            <w:r>
              <w:rPr>
                <w:rFonts w:ascii="Calibri" w:hAnsi="Calibri"/>
                <w:color w:val="203548"/>
                <w:sz w:val="18"/>
              </w:rPr>
              <w:t>Datos consolidados y poco volátiles</w:t>
            </w:r>
          </w:p>
        </w:tc>
      </w:tr>
    </w:tbl>
    <w:p>
      <w:pPr>
        <w:spacing w:after="0"/>
      </w:pPr>
    </w:p>
    <w:p>
      <w:pPr>
        <w:spacing w:before="80" w:after="200" w:line="264" w:lineRule="auto"/>
        <w:ind w:left="230" w:right="115"/>
        <w:shd w:fill="EEF5FB"/>
        <w:pBdr>
          <w:left w:val="single" w:sz="18" w:space="6" w:color="2E74B5"/>
        </w:pBdr>
      </w:pPr>
      <w:r>
        <w:rPr>
          <w:rFonts w:ascii="Calibri" w:hAnsi="Calibri"/>
          <w:b/>
          <w:color w:val="1F4D78"/>
          <w:sz w:val="22"/>
        </w:rPr>
        <w:t xml:space="preserve">Decisión. </w:t>
      </w:r>
      <w:r>
        <w:rPr>
          <w:rFonts w:ascii="Calibri" w:hAnsi="Calibri"/>
          <w:color w:val="203548"/>
          <w:sz w:val="22"/>
        </w:rPr>
        <w:t>La arquitectura será de microbatches por fuente más un batch nocturno. Ejecutar todo una vez al día produciría respuestas desactualizadas precisamente cuando el riesgo sea mayor.</w:t>
      </w:r>
    </w:p>
    <w:p>
      <w:pPr>
        <w:pStyle w:val="Heading1"/>
      </w:pPr>
      <w:r>
        <w:t>9. Filtrado, deduplicación y confianza</w:t>
      </w:r>
    </w:p>
    <w:p>
      <w:pPr>
        <w:pStyle w:val="Heading2"/>
      </w:pPr>
      <w:r>
        <w:t>9.1 Filtro geográfico</w:t>
      </w:r>
    </w:p>
    <w:p>
      <w:pPr>
        <w:pStyle w:val="ListBullet"/>
        <w:spacing w:after="80" w:line="264" w:lineRule="auto"/>
      </w:pPr>
      <w:r>
        <w:t>Reconocer municipios y provincias mediante nomenclátor oficial.</w:t>
      </w:r>
    </w:p>
    <w:p>
      <w:pPr>
        <w:pStyle w:val="ListBullet"/>
        <w:spacing w:after="80" w:line="264" w:lineRule="auto"/>
      </w:pPr>
      <w:r>
        <w:t>Geocodificar y comprobar intersección con el territorio español.</w:t>
      </w:r>
    </w:p>
    <w:p>
      <w:pPr>
        <w:pStyle w:val="ListBullet"/>
        <w:spacing w:after="80" w:line="264" w:lineRule="auto"/>
      </w:pPr>
      <w:r>
        <w:t>No aceptar una noticia como española únicamente por el dominio del medio.</w:t>
      </w:r>
    </w:p>
    <w:p>
      <w:pPr>
        <w:pStyle w:val="ListBullet"/>
        <w:spacing w:after="80" w:line="264" w:lineRule="auto"/>
      </w:pPr>
      <w:r>
        <w:t>Permitir sucesos fronterizos sólo cuando afecten territorio español.</w:t>
      </w:r>
    </w:p>
    <w:p>
      <w:pPr>
        <w:pStyle w:val="Heading2"/>
      </w:pPr>
      <w:r>
        <w:t>9.2 Deduplicación</w:t>
      </w:r>
    </w:p>
    <w:p>
      <w:pPr>
        <w:pStyle w:val="ListBullet"/>
        <w:spacing w:after="80" w:line="264" w:lineRule="auto"/>
      </w:pPr>
      <w:r>
        <w:t>URL canónica y GUID de feed.</w:t>
      </w:r>
    </w:p>
    <w:p>
      <w:pPr>
        <w:pStyle w:val="ListBullet"/>
        <w:spacing w:after="80" w:line="264" w:lineRule="auto"/>
      </w:pPr>
      <w:r>
        <w:t>Hash del texto limpio.</w:t>
      </w:r>
    </w:p>
    <w:p>
      <w:pPr>
        <w:pStyle w:val="ListBullet"/>
        <w:spacing w:after="80" w:line="264" w:lineRule="auto"/>
      </w:pPr>
      <w:r>
        <w:t>SimHash/MinHash para republicaciones de agencia.</w:t>
      </w:r>
    </w:p>
    <w:p>
      <w:pPr>
        <w:pStyle w:val="ListBullet"/>
        <w:spacing w:after="80" w:line="264" w:lineRule="auto"/>
      </w:pPr>
      <w:r>
        <w:t>Clustering por municipio, fecha, distancia y tipo de evento.</w:t>
      </w:r>
    </w:p>
    <w:p>
      <w:pPr>
        <w:pStyle w:val="Heading2"/>
      </w:pPr>
      <w:r>
        <w:t>9.3 Jerarquía de fuentes</w:t>
      </w:r>
    </w:p>
    <w:p>
      <w:pPr>
        <w:spacing w:after="100" w:line="264" w:lineRule="auto"/>
        <w:numPr>
          <w:ilvl w:val="0"/>
          <w:numId w:val="12"/>
        </w:numPr>
      </w:pPr>
      <w:r>
        <w:t>Organismos oficiales nacionales y autonómicos.</w:t>
      </w:r>
    </w:p>
    <w:p>
      <w:pPr>
        <w:spacing w:after="100" w:line="264" w:lineRule="auto"/>
        <w:numPr>
          <w:ilvl w:val="0"/>
          <w:numId w:val="12"/>
        </w:numPr>
      </w:pPr>
      <w:r>
        <w:t>Servicios públicos, RTVE y agencias informativas.</w:t>
      </w:r>
    </w:p>
    <w:p>
      <w:pPr>
        <w:spacing w:after="100" w:line="264" w:lineRule="auto"/>
        <w:numPr>
          <w:ilvl w:val="0"/>
          <w:numId w:val="12"/>
        </w:numPr>
      </w:pPr>
      <w:r>
        <w:t>Prensa nacional y regional incluida en lista blanca.</w:t>
      </w:r>
    </w:p>
    <w:p>
      <w:pPr>
        <w:spacing w:after="100" w:line="264" w:lineRule="auto"/>
        <w:numPr>
          <w:ilvl w:val="0"/>
          <w:numId w:val="12"/>
        </w:numPr>
      </w:pPr>
      <w:r>
        <w:t>Foros y redes sociales, siempre como señal comunitaria.</w:t>
      </w:r>
    </w:p>
    <w:p>
      <w:pPr>
        <w:pStyle w:val="Heading1"/>
      </w:pPr>
      <w:r>
        <w:t>10. Diseño del RAG</w:t>
      </w:r>
    </w:p>
    <w:p>
      <w:r>
        <w:t>La recuperación será híbrida: búsqueda textual BM25, embeddings multilingües y filtros de metadatos. Un reranker combinará similitud, confianza, proximidad geográfica y frescura.</w:t>
      </w:r>
    </w:p>
    <w:p>
      <w:pPr>
        <w:pStyle w:val="ListBullet"/>
        <w:spacing w:after="80" w:line="264" w:lineRule="auto"/>
      </w:pPr>
      <w:r>
        <w:t>Los avisos expirados se excluyen por defecto de preguntas sobre la situación actual.</w:t>
      </w:r>
    </w:p>
    <w:p>
      <w:pPr>
        <w:pStyle w:val="ListBullet"/>
        <w:spacing w:after="80" w:line="264" w:lineRule="auto"/>
      </w:pPr>
      <w:r>
        <w:t>Para “estado actual”, se recuperará la última observación oficial del evento.</w:t>
      </w:r>
    </w:p>
    <w:p>
      <w:pPr>
        <w:pStyle w:val="ListBullet"/>
        <w:spacing w:after="80" w:line="264" w:lineRule="auto"/>
      </w:pPr>
      <w:r>
        <w:t>Las contradicciones relevantes se mostrarán con sus respectivas horas y fuentes.</w:t>
      </w:r>
    </w:p>
    <w:p>
      <w:pPr>
        <w:pStyle w:val="ListBullet"/>
        <w:spacing w:after="80" w:line="264" w:lineRule="auto"/>
      </w:pPr>
      <w:r>
        <w:t>Cada respuesta incluirá enlaces y marcas temporales.</w:t>
      </w:r>
    </w:p>
    <w:p>
      <w:pPr>
        <w:pStyle w:val="ListBullet"/>
        <w:spacing w:after="80" w:line="264" w:lineRule="auto"/>
      </w:pPr>
      <w:r>
        <w:t>El contenido scrapeado se tratará como entrada no confiable frente a prompt injection.</w:t>
      </w:r>
    </w:p>
    <w:p>
      <w:pPr>
        <w:pStyle w:val="Heading1"/>
      </w:pPr>
      <w:r>
        <w:t>11. Costes, licencias y cumplimiento</w:t>
      </w:r>
    </w:p>
    <w:p>
      <w:r>
        <w:t>AEMET, MITECO, EFFIS, Opendatasoft, Socrata y la mayoría de los portales públicos pueden utilizarse sin coste de acceso, aunque deben respetarse sus condiciones de atribución. Meteocat es gratuito para estudiantes e investigación previa solicitud; sus planes profesionales son de pago. Euskalmet requiere registro gratuito.</w:t>
      </w:r>
    </w:p>
    <w:p>
      <w:pPr>
        <w:spacing w:before="80" w:after="200" w:line="264" w:lineRule="auto"/>
        <w:ind w:left="230" w:right="115"/>
        <w:shd w:fill="EEF5FB"/>
        <w:pBdr>
          <w:left w:val="single" w:sz="18" w:space="6" w:color="2E74B5"/>
        </w:pBdr>
      </w:pPr>
      <w:r>
        <w:rPr>
          <w:rFonts w:ascii="Calibri" w:hAnsi="Calibri"/>
          <w:b/>
          <w:color w:val="1F4D78"/>
          <w:sz w:val="22"/>
        </w:rPr>
        <w:t xml:space="preserve">Precaución jurídica. </w:t>
      </w:r>
      <w:r>
        <w:rPr>
          <w:rFonts w:ascii="Calibri" w:hAnsi="Calibri"/>
          <w:color w:val="203548"/>
          <w:sz w:val="22"/>
        </w:rPr>
        <w:t>Una página gratuita no implica una licencia para copiar y redistribuir íntegramente sus noticias. Cuando la licencia no sea clara se conservarán metadatos, URL, un extracto breve y hechos estructurados. No se sortearán paywalls, autenticación, CAPTCHA ni bloqueos.</w:t>
      </w:r>
    </w:p>
    <w:p>
      <w:pPr>
        <w:pStyle w:val="ListBullet"/>
        <w:spacing w:after="80" w:line="264" w:lineRule="auto"/>
      </w:pPr>
      <w:r>
        <w:t>Mantener una ficha de licencia, atribución y frecuencia permitida por fuente.</w:t>
      </w:r>
    </w:p>
    <w:p>
      <w:pPr>
        <w:pStyle w:val="ListBullet"/>
        <w:spacing w:after="80" w:line="264" w:lineRule="auto"/>
      </w:pPr>
      <w:r>
        <w:t>Respetar robots.txt y condiciones de servicio.</w:t>
      </w:r>
    </w:p>
    <w:p>
      <w:pPr>
        <w:pStyle w:val="ListBullet"/>
        <w:spacing w:after="80" w:line="264" w:lineRule="auto"/>
      </w:pPr>
      <w:r>
        <w:t>Usar un User-Agent identificable y límites de petición conservadores.</w:t>
      </w:r>
    </w:p>
    <w:p>
      <w:pPr>
        <w:pStyle w:val="ListBullet"/>
        <w:spacing w:after="80" w:line="264" w:lineRule="auto"/>
      </w:pPr>
      <w:r>
        <w:t>Minimizar nombres de usuario y datos personales procedentes de foros.</w:t>
      </w:r>
    </w:p>
    <w:p>
      <w:pPr>
        <w:pStyle w:val="ListBullet"/>
        <w:spacing w:after="80" w:line="264" w:lineRule="auto"/>
      </w:pPr>
      <w:r>
        <w:t>Revisar permisos antes de una explotación pública o comercial.</w:t>
      </w:r>
    </w:p>
    <w:p>
      <w:pPr>
        <w:pStyle w:val="Heading1"/>
      </w:pPr>
      <w:r>
        <w:t>12. Plan de implementación</w:t>
      </w:r>
    </w:p>
    <w:tbl>
      <w:tblPr>
        <w:tblStyle w:val="TableGrid"/>
        <w:tblW w:type="dxa" w:w="9360"/>
        <w:jc w:val="left"/>
        <w:tblLayout w:type="fixed"/>
        <w:tblLook w:firstColumn="1" w:firstRow="1" w:lastColumn="0" w:lastRow="0" w:noHBand="0" w:noVBand="1" w:val="04A0"/>
        <w:tblInd w:w="120" w:type="dxa"/>
      </w:tblPr>
      <w:tblGrid>
        <w:gridCol w:w="1800"/>
        <w:gridCol w:w="1450"/>
        <w:gridCol w:w="6110"/>
      </w:tblGrid>
      <w:tr>
        <w:trPr>
          <w:tblHeader w:val="true"/>
          <w:cantSplit/>
        </w:trPr>
        <w:tc>
          <w:tcPr>
            <w:tcW w:type="dxa" w:w="1800"/>
            <w:shd w:fill="F2F4F7"/>
            <w:vAlign w:val="center"/>
            <w:tcMar>
              <w:top w:w="80" w:type="dxa"/>
              <w:start w:w="120" w:type="dxa"/>
              <w:bottom w:w="80" w:type="dxa"/>
              <w:end w:w="120" w:type="dxa"/>
            </w:tcMar>
          </w:tcPr>
          <w:p>
            <w:pPr>
              <w:spacing w:after="0" w:line="240" w:lineRule="auto"/>
              <w:jc w:val="center"/>
            </w:pPr>
            <w:r>
              <w:rPr>
                <w:rFonts w:ascii="Calibri" w:hAnsi="Calibri"/>
                <w:b/>
                <w:color w:val="203548"/>
                <w:sz w:val="18"/>
              </w:rPr>
              <w:t>Fase</w:t>
            </w:r>
          </w:p>
        </w:tc>
        <w:tc>
          <w:tcPr>
            <w:tcW w:type="dxa" w:w="1450"/>
            <w:shd w:fill="F2F4F7"/>
            <w:vAlign w:val="center"/>
            <w:tcMar>
              <w:top w:w="80" w:type="dxa"/>
              <w:start w:w="120" w:type="dxa"/>
              <w:bottom w:w="80" w:type="dxa"/>
              <w:end w:w="120" w:type="dxa"/>
            </w:tcMar>
          </w:tcPr>
          <w:p>
            <w:pPr>
              <w:spacing w:after="0" w:line="240" w:lineRule="auto"/>
              <w:jc w:val="center"/>
            </w:pPr>
            <w:r>
              <w:rPr>
                <w:rFonts w:ascii="Calibri" w:hAnsi="Calibri"/>
                <w:b/>
                <w:color w:val="203548"/>
                <w:sz w:val="18"/>
              </w:rPr>
              <w:t>Duración</w:t>
            </w:r>
          </w:p>
        </w:tc>
        <w:tc>
          <w:tcPr>
            <w:tcW w:type="dxa" w:w="6110"/>
            <w:shd w:fill="F2F4F7"/>
            <w:vAlign w:val="center"/>
            <w:tcMar>
              <w:top w:w="80" w:type="dxa"/>
              <w:start w:w="120" w:type="dxa"/>
              <w:bottom w:w="80" w:type="dxa"/>
              <w:end w:w="120" w:type="dxa"/>
            </w:tcMar>
          </w:tcPr>
          <w:p>
            <w:pPr>
              <w:spacing w:after="0" w:line="240" w:lineRule="auto"/>
              <w:jc w:val="center"/>
            </w:pPr>
            <w:r>
              <w:rPr>
                <w:rFonts w:ascii="Calibri" w:hAnsi="Calibri"/>
                <w:b/>
                <w:color w:val="203548"/>
                <w:sz w:val="18"/>
              </w:rPr>
              <w:t>Entregables</w:t>
            </w:r>
          </w:p>
        </w:tc>
      </w:tr>
      <w:tr>
        <w:trPr>
          <w:cantSplit/>
        </w:trPr>
        <w:tc>
          <w:tcPr>
            <w:tcW w:type="dxa" w:w="1800"/>
            <w:vAlign w:val="center"/>
            <w:tcMar>
              <w:top w:w="80" w:type="dxa"/>
              <w:start w:w="120" w:type="dxa"/>
              <w:bottom w:w="80" w:type="dxa"/>
              <w:end w:w="120" w:type="dxa"/>
            </w:tcMar>
          </w:tcPr>
          <w:p>
            <w:pPr>
              <w:spacing w:after="0" w:line="240" w:lineRule="auto"/>
              <w:jc w:val="left"/>
            </w:pPr>
            <w:r>
              <w:rPr>
                <w:rFonts w:ascii="Calibri" w:hAnsi="Calibri"/>
                <w:color w:val="203548"/>
                <w:sz w:val="18"/>
              </w:rPr>
              <w:t>1. Base</w:t>
            </w:r>
          </w:p>
        </w:tc>
        <w:tc>
          <w:tcPr>
            <w:tcW w:type="dxa" w:w="1450"/>
            <w:vAlign w:val="center"/>
            <w:tcMar>
              <w:top w:w="80" w:type="dxa"/>
              <w:start w:w="120" w:type="dxa"/>
              <w:bottom w:w="80" w:type="dxa"/>
              <w:end w:w="120" w:type="dxa"/>
            </w:tcMar>
          </w:tcPr>
          <w:p>
            <w:pPr>
              <w:spacing w:after="0" w:line="240" w:lineRule="auto"/>
              <w:jc w:val="left"/>
            </w:pPr>
            <w:r>
              <w:rPr>
                <w:rFonts w:ascii="Calibri" w:hAnsi="Calibri"/>
                <w:color w:val="203548"/>
                <w:sz w:val="18"/>
              </w:rPr>
              <w:t>Semana 1</w:t>
            </w:r>
          </w:p>
        </w:tc>
        <w:tc>
          <w:tcPr>
            <w:tcW w:type="dxa" w:w="6110"/>
            <w:vAlign w:val="center"/>
            <w:tcMar>
              <w:top w:w="80" w:type="dxa"/>
              <w:start w:w="120" w:type="dxa"/>
              <w:bottom w:w="80" w:type="dxa"/>
              <w:end w:w="120" w:type="dxa"/>
            </w:tcMar>
          </w:tcPr>
          <w:p>
            <w:pPr>
              <w:spacing w:after="0" w:line="240" w:lineRule="auto"/>
              <w:jc w:val="center"/>
            </w:pPr>
            <w:r>
              <w:rPr>
                <w:rFonts w:ascii="Calibri" w:hAnsi="Calibri"/>
                <w:color w:val="203548"/>
                <w:sz w:val="18"/>
              </w:rPr>
              <w:t>Esquema, registro de fuentes, AEMET CAP y almacenamiento original</w:t>
            </w:r>
          </w:p>
        </w:tc>
      </w:tr>
      <w:tr>
        <w:trPr>
          <w:cantSplit/>
        </w:trPr>
        <w:tc>
          <w:tcPr>
            <w:tcW w:type="dxa" w:w="1800"/>
            <w:vAlign w:val="center"/>
            <w:tcMar>
              <w:top w:w="80" w:type="dxa"/>
              <w:start w:w="120" w:type="dxa"/>
              <w:bottom w:w="80" w:type="dxa"/>
              <w:end w:w="120" w:type="dxa"/>
            </w:tcMar>
          </w:tcPr>
          <w:p>
            <w:pPr>
              <w:spacing w:after="0" w:line="240" w:lineRule="auto"/>
              <w:jc w:val="left"/>
            </w:pPr>
            <w:r>
              <w:rPr>
                <w:rFonts w:ascii="Calibri" w:hAnsi="Calibri"/>
                <w:color w:val="203548"/>
                <w:sz w:val="18"/>
              </w:rPr>
              <w:t>2. Oficial</w:t>
            </w:r>
          </w:p>
        </w:tc>
        <w:tc>
          <w:tcPr>
            <w:tcW w:type="dxa" w:w="1450"/>
            <w:vAlign w:val="center"/>
            <w:tcMar>
              <w:top w:w="80" w:type="dxa"/>
              <w:start w:w="120" w:type="dxa"/>
              <w:bottom w:w="80" w:type="dxa"/>
              <w:end w:w="120" w:type="dxa"/>
            </w:tcMar>
          </w:tcPr>
          <w:p>
            <w:pPr>
              <w:spacing w:after="0" w:line="240" w:lineRule="auto"/>
              <w:jc w:val="left"/>
            </w:pPr>
            <w:r>
              <w:rPr>
                <w:rFonts w:ascii="Calibri" w:hAnsi="Calibri"/>
                <w:color w:val="203548"/>
                <w:sz w:val="18"/>
              </w:rPr>
              <w:t>Semana 2</w:t>
            </w:r>
          </w:p>
        </w:tc>
        <w:tc>
          <w:tcPr>
            <w:tcW w:type="dxa" w:w="6110"/>
            <w:vAlign w:val="center"/>
            <w:tcMar>
              <w:top w:w="80" w:type="dxa"/>
              <w:start w:w="120" w:type="dxa"/>
              <w:bottom w:w="80" w:type="dxa"/>
              <w:end w:w="120" w:type="dxa"/>
            </w:tcMar>
          </w:tcPr>
          <w:p>
            <w:pPr>
              <w:spacing w:after="0" w:line="240" w:lineRule="auto"/>
              <w:jc w:val="center"/>
            </w:pPr>
            <w:r>
              <w:rPr>
                <w:rFonts w:ascii="Calibri" w:hAnsi="Calibri"/>
                <w:color w:val="203548"/>
                <w:sz w:val="18"/>
              </w:rPr>
              <w:t>AEMET OpenData, MITECO, EFFIS y Castilla y León</w:t>
            </w:r>
          </w:p>
        </w:tc>
      </w:tr>
      <w:tr>
        <w:trPr>
          <w:cantSplit/>
        </w:trPr>
        <w:tc>
          <w:tcPr>
            <w:tcW w:type="dxa" w:w="1800"/>
            <w:vAlign w:val="center"/>
            <w:tcMar>
              <w:top w:w="80" w:type="dxa"/>
              <w:start w:w="120" w:type="dxa"/>
              <w:bottom w:w="80" w:type="dxa"/>
              <w:end w:w="120" w:type="dxa"/>
            </w:tcMar>
          </w:tcPr>
          <w:p>
            <w:pPr>
              <w:spacing w:after="0" w:line="240" w:lineRule="auto"/>
              <w:jc w:val="left"/>
            </w:pPr>
            <w:r>
              <w:rPr>
                <w:rFonts w:ascii="Calibri" w:hAnsi="Calibri"/>
                <w:color w:val="203548"/>
                <w:sz w:val="18"/>
              </w:rPr>
              <w:t>3. Regional/noticias</w:t>
            </w:r>
          </w:p>
        </w:tc>
        <w:tc>
          <w:tcPr>
            <w:tcW w:type="dxa" w:w="1450"/>
            <w:vAlign w:val="center"/>
            <w:tcMar>
              <w:top w:w="80" w:type="dxa"/>
              <w:start w:w="120" w:type="dxa"/>
              <w:bottom w:w="80" w:type="dxa"/>
              <w:end w:w="120" w:type="dxa"/>
            </w:tcMar>
          </w:tcPr>
          <w:p>
            <w:pPr>
              <w:spacing w:after="0" w:line="240" w:lineRule="auto"/>
              <w:jc w:val="left"/>
            </w:pPr>
            <w:r>
              <w:rPr>
                <w:rFonts w:ascii="Calibri" w:hAnsi="Calibri"/>
                <w:color w:val="203548"/>
                <w:sz w:val="18"/>
              </w:rPr>
              <w:t>Semana 3</w:t>
            </w:r>
          </w:p>
        </w:tc>
        <w:tc>
          <w:tcPr>
            <w:tcW w:type="dxa" w:w="6110"/>
            <w:vAlign w:val="center"/>
            <w:tcMar>
              <w:top w:w="80" w:type="dxa"/>
              <w:start w:w="120" w:type="dxa"/>
              <w:bottom w:w="80" w:type="dxa"/>
              <w:end w:w="120" w:type="dxa"/>
            </w:tcMar>
          </w:tcPr>
          <w:p>
            <w:pPr>
              <w:spacing w:after="0" w:line="240" w:lineRule="auto"/>
              <w:jc w:val="center"/>
            </w:pPr>
            <w:r>
              <w:rPr>
                <w:rFonts w:ascii="Calibri" w:hAnsi="Calibri"/>
                <w:color w:val="203548"/>
                <w:sz w:val="18"/>
              </w:rPr>
              <w:t>Cataluña, Andalucía, RTVE y EFEverde</w:t>
            </w:r>
          </w:p>
        </w:tc>
      </w:tr>
      <w:tr>
        <w:trPr>
          <w:cantSplit/>
        </w:trPr>
        <w:tc>
          <w:tcPr>
            <w:tcW w:type="dxa" w:w="1800"/>
            <w:vAlign w:val="center"/>
            <w:tcMar>
              <w:top w:w="80" w:type="dxa"/>
              <w:start w:w="120" w:type="dxa"/>
              <w:bottom w:w="80" w:type="dxa"/>
              <w:end w:w="120" w:type="dxa"/>
            </w:tcMar>
          </w:tcPr>
          <w:p>
            <w:pPr>
              <w:spacing w:after="0" w:line="240" w:lineRule="auto"/>
              <w:jc w:val="left"/>
            </w:pPr>
            <w:r>
              <w:rPr>
                <w:rFonts w:ascii="Calibri" w:hAnsi="Calibri"/>
                <w:color w:val="203548"/>
                <w:sz w:val="18"/>
              </w:rPr>
              <w:t>4. Enriquecimiento</w:t>
            </w:r>
          </w:p>
        </w:tc>
        <w:tc>
          <w:tcPr>
            <w:tcW w:type="dxa" w:w="1450"/>
            <w:vAlign w:val="center"/>
            <w:tcMar>
              <w:top w:w="80" w:type="dxa"/>
              <w:start w:w="120" w:type="dxa"/>
              <w:bottom w:w="80" w:type="dxa"/>
              <w:end w:w="120" w:type="dxa"/>
            </w:tcMar>
          </w:tcPr>
          <w:p>
            <w:pPr>
              <w:spacing w:after="0" w:line="240" w:lineRule="auto"/>
              <w:jc w:val="left"/>
            </w:pPr>
            <w:r>
              <w:rPr>
                <w:rFonts w:ascii="Calibri" w:hAnsi="Calibri"/>
                <w:color w:val="203548"/>
                <w:sz w:val="18"/>
              </w:rPr>
              <w:t>Semana 4</w:t>
            </w:r>
          </w:p>
        </w:tc>
        <w:tc>
          <w:tcPr>
            <w:tcW w:type="dxa" w:w="6110"/>
            <w:vAlign w:val="center"/>
            <w:tcMar>
              <w:top w:w="80" w:type="dxa"/>
              <w:start w:w="120" w:type="dxa"/>
              <w:bottom w:w="80" w:type="dxa"/>
              <w:end w:w="120" w:type="dxa"/>
            </w:tcMar>
          </w:tcPr>
          <w:p>
            <w:pPr>
              <w:spacing w:after="0" w:line="240" w:lineRule="auto"/>
              <w:jc w:val="center"/>
            </w:pPr>
            <w:r>
              <w:rPr>
                <w:rFonts w:ascii="Calibri" w:hAnsi="Calibri"/>
                <w:color w:val="203548"/>
                <w:sz w:val="18"/>
              </w:rPr>
              <w:t>Geolocalización, eventos y deduplicación</w:t>
            </w:r>
          </w:p>
        </w:tc>
      </w:tr>
      <w:tr>
        <w:trPr>
          <w:cantSplit/>
        </w:trPr>
        <w:tc>
          <w:tcPr>
            <w:tcW w:type="dxa" w:w="1800"/>
            <w:vAlign w:val="center"/>
            <w:tcMar>
              <w:top w:w="80" w:type="dxa"/>
              <w:start w:w="120" w:type="dxa"/>
              <w:bottom w:w="80" w:type="dxa"/>
              <w:end w:w="120" w:type="dxa"/>
            </w:tcMar>
          </w:tcPr>
          <w:p>
            <w:pPr>
              <w:spacing w:after="0" w:line="240" w:lineRule="auto"/>
              <w:jc w:val="left"/>
            </w:pPr>
            <w:r>
              <w:rPr>
                <w:rFonts w:ascii="Calibri" w:hAnsi="Calibri"/>
                <w:color w:val="203548"/>
                <w:sz w:val="18"/>
              </w:rPr>
              <w:t>5. RAG</w:t>
            </w:r>
          </w:p>
        </w:tc>
        <w:tc>
          <w:tcPr>
            <w:tcW w:type="dxa" w:w="1450"/>
            <w:vAlign w:val="center"/>
            <w:tcMar>
              <w:top w:w="80" w:type="dxa"/>
              <w:start w:w="120" w:type="dxa"/>
              <w:bottom w:w="80" w:type="dxa"/>
              <w:end w:w="120" w:type="dxa"/>
            </w:tcMar>
          </w:tcPr>
          <w:p>
            <w:pPr>
              <w:spacing w:after="0" w:line="240" w:lineRule="auto"/>
              <w:jc w:val="left"/>
            </w:pPr>
            <w:r>
              <w:rPr>
                <w:rFonts w:ascii="Calibri" w:hAnsi="Calibri"/>
                <w:color w:val="203548"/>
                <w:sz w:val="18"/>
              </w:rPr>
              <w:t>Semana 5</w:t>
            </w:r>
          </w:p>
        </w:tc>
        <w:tc>
          <w:tcPr>
            <w:tcW w:type="dxa" w:w="6110"/>
            <w:vAlign w:val="center"/>
            <w:tcMar>
              <w:top w:w="80" w:type="dxa"/>
              <w:start w:w="120" w:type="dxa"/>
              <w:bottom w:w="80" w:type="dxa"/>
              <w:end w:w="120" w:type="dxa"/>
            </w:tcMar>
          </w:tcPr>
          <w:p>
            <w:pPr>
              <w:spacing w:after="0" w:line="240" w:lineRule="auto"/>
              <w:jc w:val="center"/>
            </w:pPr>
            <w:r>
              <w:rPr>
                <w:rFonts w:ascii="Calibri" w:hAnsi="Calibri"/>
                <w:color w:val="203548"/>
                <w:sz w:val="18"/>
              </w:rPr>
              <w:t>pgvector, recuperación híbrida y respuestas con citas</w:t>
            </w:r>
          </w:p>
        </w:tc>
      </w:tr>
      <w:tr>
        <w:trPr>
          <w:cantSplit/>
        </w:trPr>
        <w:tc>
          <w:tcPr>
            <w:tcW w:type="dxa" w:w="1800"/>
            <w:vAlign w:val="center"/>
            <w:tcMar>
              <w:top w:w="80" w:type="dxa"/>
              <w:start w:w="120" w:type="dxa"/>
              <w:bottom w:w="80" w:type="dxa"/>
              <w:end w:w="120" w:type="dxa"/>
            </w:tcMar>
          </w:tcPr>
          <w:p>
            <w:pPr>
              <w:spacing w:after="0" w:line="240" w:lineRule="auto"/>
              <w:jc w:val="left"/>
            </w:pPr>
            <w:r>
              <w:rPr>
                <w:rFonts w:ascii="Calibri" w:hAnsi="Calibri"/>
                <w:color w:val="203548"/>
                <w:sz w:val="18"/>
              </w:rPr>
              <w:t>6. Evaluación</w:t>
            </w:r>
          </w:p>
        </w:tc>
        <w:tc>
          <w:tcPr>
            <w:tcW w:type="dxa" w:w="1450"/>
            <w:vAlign w:val="center"/>
            <w:tcMar>
              <w:top w:w="80" w:type="dxa"/>
              <w:start w:w="120" w:type="dxa"/>
              <w:bottom w:w="80" w:type="dxa"/>
              <w:end w:w="120" w:type="dxa"/>
            </w:tcMar>
          </w:tcPr>
          <w:p>
            <w:pPr>
              <w:spacing w:after="0" w:line="240" w:lineRule="auto"/>
              <w:jc w:val="left"/>
            </w:pPr>
            <w:r>
              <w:rPr>
                <w:rFonts w:ascii="Calibri" w:hAnsi="Calibri"/>
                <w:color w:val="203548"/>
                <w:sz w:val="18"/>
              </w:rPr>
              <w:t>Semana 6</w:t>
            </w:r>
          </w:p>
        </w:tc>
        <w:tc>
          <w:tcPr>
            <w:tcW w:type="dxa" w:w="6110"/>
            <w:vAlign w:val="center"/>
            <w:tcMar>
              <w:top w:w="80" w:type="dxa"/>
              <w:start w:w="120" w:type="dxa"/>
              <w:bottom w:w="80" w:type="dxa"/>
              <w:end w:w="120" w:type="dxa"/>
            </w:tcMar>
          </w:tcPr>
          <w:p>
            <w:pPr>
              <w:spacing w:after="0" w:line="240" w:lineRule="auto"/>
              <w:jc w:val="center"/>
            </w:pPr>
            <w:r>
              <w:rPr>
                <w:rFonts w:ascii="Calibri" w:hAnsi="Calibri"/>
                <w:color w:val="203548"/>
                <w:sz w:val="18"/>
              </w:rPr>
              <w:t>Pruebas, observabilidad, documentación y memoria</w:t>
            </w:r>
          </w:p>
        </w:tc>
      </w:tr>
    </w:tbl>
    <w:p>
      <w:pPr>
        <w:spacing w:after="0"/>
      </w:pPr>
    </w:p>
    <w:p>
      <w:pPr>
        <w:pStyle w:val="Heading2"/>
      </w:pPr>
      <w:r>
        <w:t>12.1 MVP recomendado</w:t>
      </w:r>
    </w:p>
    <w:p>
      <w:pPr>
        <w:pStyle w:val="ListBullet"/>
        <w:spacing w:after="80" w:line="264" w:lineRule="auto"/>
      </w:pPr>
      <w:r>
        <w:t>AEMET CAP/RSS y AEMET OpenData.</w:t>
      </w:r>
    </w:p>
    <w:p>
      <w:pPr>
        <w:pStyle w:val="ListBullet"/>
        <w:spacing w:after="80" w:line="264" w:lineRule="auto"/>
      </w:pPr>
      <w:r>
        <w:t>MITECO: parte provisional y definitivo.</w:t>
      </w:r>
    </w:p>
    <w:p>
      <w:pPr>
        <w:pStyle w:val="ListBullet"/>
        <w:spacing w:after="80" w:line="264" w:lineRule="auto"/>
      </w:pPr>
      <w:r>
        <w:t>EFFIS WMS con filtro territorial español.</w:t>
      </w:r>
    </w:p>
    <w:p>
      <w:pPr>
        <w:pStyle w:val="ListBullet"/>
        <w:spacing w:after="80" w:line="264" w:lineRule="auto"/>
      </w:pPr>
      <w:r>
        <w:t>Castilla y León mediante Opendatasoft.</w:t>
      </w:r>
    </w:p>
    <w:p>
      <w:pPr>
        <w:pStyle w:val="ListBullet"/>
        <w:spacing w:after="80" w:line="264" w:lineRule="auto"/>
      </w:pPr>
      <w:r>
        <w:t>Cataluña mediante Socrata.</w:t>
      </w:r>
    </w:p>
    <w:p>
      <w:pPr>
        <w:pStyle w:val="ListBullet"/>
        <w:spacing w:after="80" w:line="264" w:lineRule="auto"/>
      </w:pPr>
      <w:r>
        <w:t>RTVE y EFEverde como contexto periodístico.</w:t>
      </w:r>
    </w:p>
    <w:p>
      <w:r>
        <w:t>Este alcance proporciona cobertura nacional, dos integraciones autonómicas sólidas y contexto informativo sin convertir el TFM en el mantenimiento simultáneo de diecisiete scrapers.</w:t>
      </w:r>
    </w:p>
    <w:p>
      <w:pPr>
        <w:pStyle w:val="Heading1"/>
      </w:pPr>
      <w:r>
        <w:t>13. Evaluación</w:t>
      </w:r>
    </w:p>
    <w:p>
      <w:pPr>
        <w:pStyle w:val="ListBullet"/>
        <w:spacing w:after="80" w:line="264" w:lineRule="auto"/>
      </w:pPr>
      <w:r>
        <w:t>Frescura: minutos entre publicación e indexación.</w:t>
      </w:r>
    </w:p>
    <w:p>
      <w:pPr>
        <w:pStyle w:val="ListBullet"/>
        <w:spacing w:after="80" w:line="264" w:lineRule="auto"/>
      </w:pPr>
      <w:r>
        <w:t>Recall@k y nDCG de recuperación.</w:t>
      </w:r>
    </w:p>
    <w:p>
      <w:pPr>
        <w:pStyle w:val="ListBullet"/>
        <w:spacing w:after="80" w:line="264" w:lineRule="auto"/>
      </w:pPr>
      <w:r>
        <w:t>Precisión de municipio, estado, superficie y severidad extraídos.</w:t>
      </w:r>
    </w:p>
    <w:p>
      <w:pPr>
        <w:pStyle w:val="ListBullet"/>
        <w:spacing w:after="80" w:line="264" w:lineRule="auto"/>
      </w:pPr>
      <w:r>
        <w:t>Porcentaje de respuestas con citas que realmente respaldan la afirmación.</w:t>
      </w:r>
    </w:p>
    <w:p>
      <w:pPr>
        <w:pStyle w:val="ListBullet"/>
        <w:spacing w:after="80" w:line="264" w:lineRule="auto"/>
      </w:pPr>
      <w:r>
        <w:t>Tasa de duplicados y errores por fuente.</w:t>
      </w:r>
    </w:p>
    <w:p>
      <w:pPr>
        <w:pStyle w:val="ListBullet"/>
        <w:spacing w:after="80" w:line="264" w:lineRule="auto"/>
      </w:pPr>
      <w:r>
        <w:t>Pruebas temporales: activo frente a controlado, vigente frente a expirado.</w:t>
      </w:r>
    </w:p>
    <w:p>
      <w:r>
        <w:t>Se recomienda construir un conjunto de evaluación con entre 40 y 60 preguntas y una muestra manual de al menos 100 documentos/eventos. Debe incluir casos con actualizaciones sucesivas y fuentes contradictorias.</w:t>
      </w:r>
    </w:p>
    <w:p>
      <w:pPr>
        <w:pStyle w:val="Heading1"/>
      </w:pPr>
      <w:r>
        <w:t>14. Conclusión</w:t>
      </w:r>
    </w:p>
    <w:p>
      <w:r>
        <w:t>El RAG es viable con un MVP prácticamente sin costes de acceso a fuentes. La decisión técnica clave es reservar el scraping para los lugares donde no exista una interfaz estructurada y mantener separados los niveles de confianza. La combinación de AEMET, MITECO, EFFIS, datos autonómicos y noticias seleccionadas permite construir un sistema reciente, trazable y adecuado para una aplicación de detección de incendios orientada a España.</w:t>
      </w:r>
    </w:p>
    <w:p>
      <w:pPr>
        <w:spacing w:after="80"/>
      </w:pPr>
    </w:p>
    <w:p>
      <w:pPr>
        <w:pStyle w:val="Heading1"/>
      </w:pPr>
      <w:r>
        <w:t>Anexo A. Fuentes y documentación</w:t>
      </w:r>
    </w:p>
    <w:p>
      <w:pPr>
        <w:spacing w:after="80"/>
      </w:pPr>
      <w:r>
        <w:rPr>
          <w:rFonts w:ascii="Calibri" w:hAnsi="Calibri"/>
          <w:b/>
          <w:color w:val="203548"/>
          <w:sz w:val="22"/>
        </w:rPr>
        <w:t xml:space="preserve">AEMET — avisos CAP/RSS: </w:t>
      </w:r>
      <w:hyperlink r:id="rId11">
        <w:r>
          <w:rPr>
            <w:rFonts w:ascii="Calibri" w:hAnsi="Calibri"/>
            <w:color w:val="2E74B5"/>
            <w:u w:val="single"/>
            <w:sz w:val="22"/>
          </w:rPr>
          <w:t>https://www.aemet.es/es/rss_info/avisos/esp</w:t>
        </w:r>
      </w:hyperlink>
      <w:r>
        <w:rPr>
          <w:rFonts w:ascii="Calibri" w:hAnsi="Calibri"/>
          <w:sz w:val="22"/>
        </w:rPr>
        <w:t>. Avisos vigentes por territorio.</w:t>
      </w:r>
    </w:p>
    <w:p>
      <w:pPr>
        <w:spacing w:after="80"/>
      </w:pPr>
      <w:r>
        <w:rPr>
          <w:rFonts w:ascii="Calibri" w:hAnsi="Calibri"/>
          <w:b/>
          <w:color w:val="203548"/>
          <w:sz w:val="22"/>
        </w:rPr>
        <w:t xml:space="preserve">AEMET OpenData: </w:t>
      </w:r>
      <w:hyperlink r:id="rId12">
        <w:r>
          <w:rPr>
            <w:rFonts w:ascii="Calibri" w:hAnsi="Calibri"/>
            <w:color w:val="2E74B5"/>
            <w:u w:val="single"/>
            <w:sz w:val="22"/>
          </w:rPr>
          <w:t>https://opendata.aemet.es/centrodedescargas/AEMETApi</w:t>
        </w:r>
      </w:hyperlink>
      <w:r>
        <w:rPr>
          <w:rFonts w:ascii="Calibri" w:hAnsi="Calibri"/>
          <w:sz w:val="22"/>
        </w:rPr>
        <w:t>. API REST y documentación.</w:t>
      </w:r>
    </w:p>
    <w:p>
      <w:pPr>
        <w:spacing w:after="80"/>
      </w:pPr>
      <w:r>
        <w:rPr>
          <w:rFonts w:ascii="Calibri" w:hAnsi="Calibri"/>
          <w:b/>
          <w:color w:val="203548"/>
          <w:sz w:val="22"/>
        </w:rPr>
        <w:t xml:space="preserve">MITECO — actuaciones diarias: </w:t>
      </w:r>
      <w:hyperlink r:id="rId13">
        <w:r>
          <w:rPr>
            <w:rFonts w:ascii="Calibri" w:hAnsi="Calibri"/>
            <w:color w:val="2E74B5"/>
            <w:u w:val="single"/>
            <w:sz w:val="22"/>
          </w:rPr>
          <w:t>https://www.miteco.gob.es/es/biodiversidad/temas/incendios-forestales/estadisticas-actuaciones.html</w:t>
        </w:r>
      </w:hyperlink>
      <w:r>
        <w:rPr>
          <w:rFonts w:ascii="Calibri" w:hAnsi="Calibri"/>
          <w:sz w:val="22"/>
        </w:rPr>
        <w:t>. Partes PDF y riesgo.</w:t>
      </w:r>
    </w:p>
    <w:p>
      <w:pPr>
        <w:spacing w:after="80"/>
      </w:pPr>
      <w:r>
        <w:rPr>
          <w:rFonts w:ascii="Calibri" w:hAnsi="Calibri"/>
          <w:b/>
          <w:color w:val="203548"/>
          <w:sz w:val="22"/>
        </w:rPr>
        <w:t xml:space="preserve">MITECO — EGIF: </w:t>
      </w:r>
      <w:hyperlink r:id="rId14">
        <w:r>
          <w:rPr>
            <w:rFonts w:ascii="Calibri" w:hAnsi="Calibri"/>
            <w:color w:val="2E74B5"/>
            <w:u w:val="single"/>
            <w:sz w:val="22"/>
          </w:rPr>
          <w:t>https://www.miteco.gob.es/es/biodiversidad/temas/incendios-forestales/estadisticas-datos.html</w:t>
        </w:r>
      </w:hyperlink>
      <w:r>
        <w:rPr>
          <w:rFonts w:ascii="Calibri" w:hAnsi="Calibri"/>
          <w:sz w:val="22"/>
        </w:rPr>
        <w:t>. Histórico nacional.</w:t>
      </w:r>
    </w:p>
    <w:p>
      <w:pPr>
        <w:spacing w:after="80"/>
      </w:pPr>
      <w:r>
        <w:rPr>
          <w:rFonts w:ascii="Calibri" w:hAnsi="Calibri"/>
          <w:b/>
          <w:color w:val="203548"/>
          <w:sz w:val="22"/>
        </w:rPr>
        <w:t xml:space="preserve">EFFIS — datos y servicios: </w:t>
      </w:r>
      <w:hyperlink r:id="rId15">
        <w:r>
          <w:rPr>
            <w:rFonts w:ascii="Calibri" w:hAnsi="Calibri"/>
            <w:color w:val="2E74B5"/>
            <w:u w:val="single"/>
            <w:sz w:val="22"/>
          </w:rPr>
          <w:t>https://forest-fire.emergency.copernicus.eu/applications/data-and-services</w:t>
        </w:r>
      </w:hyperlink>
      <w:r>
        <w:rPr>
          <w:rFonts w:ascii="Calibri" w:hAnsi="Calibri"/>
          <w:sz w:val="22"/>
        </w:rPr>
        <w:t>. WMS y descargas.</w:t>
      </w:r>
    </w:p>
    <w:p>
      <w:pPr>
        <w:spacing w:after="80"/>
      </w:pPr>
      <w:r>
        <w:rPr>
          <w:rFonts w:ascii="Calibri" w:hAnsi="Calibri"/>
          <w:b/>
          <w:color w:val="203548"/>
          <w:sz w:val="22"/>
        </w:rPr>
        <w:t xml:space="preserve">EFFIS — licencia: </w:t>
      </w:r>
      <w:hyperlink r:id="rId16">
        <w:r>
          <w:rPr>
            <w:rFonts w:ascii="Calibri" w:hAnsi="Calibri"/>
            <w:color w:val="2E74B5"/>
            <w:u w:val="single"/>
            <w:sz w:val="22"/>
          </w:rPr>
          <w:t>https://forest-fire.emergency.copernicus.eu/about-effis/data-license</w:t>
        </w:r>
      </w:hyperlink>
      <w:r>
        <w:rPr>
          <w:rFonts w:ascii="Calibri" w:hAnsi="Calibri"/>
          <w:sz w:val="22"/>
        </w:rPr>
        <w:t>. Condiciones de reutilización.</w:t>
      </w:r>
    </w:p>
    <w:p>
      <w:pPr>
        <w:spacing w:after="80"/>
      </w:pPr>
      <w:r>
        <w:rPr>
          <w:rFonts w:ascii="Calibri" w:hAnsi="Calibri"/>
          <w:b/>
          <w:color w:val="203548"/>
          <w:sz w:val="22"/>
        </w:rPr>
        <w:t xml:space="preserve">Castilla y León — incendios: </w:t>
      </w:r>
      <w:hyperlink r:id="rId17">
        <w:r>
          <w:rPr>
            <w:rFonts w:ascii="Calibri" w:hAnsi="Calibri"/>
            <w:color w:val="2E74B5"/>
            <w:u w:val="single"/>
            <w:sz w:val="22"/>
          </w:rPr>
          <w:t>https://jcyl.opendatasoft.com/explore/dataset/incendios-forestales/</w:t>
        </w:r>
      </w:hyperlink>
      <w:r>
        <w:rPr>
          <w:rFonts w:ascii="Calibri" w:hAnsi="Calibri"/>
          <w:sz w:val="22"/>
        </w:rPr>
        <w:t>. Opendatasoft.</w:t>
      </w:r>
    </w:p>
    <w:p>
      <w:pPr>
        <w:spacing w:after="80"/>
      </w:pPr>
      <w:r>
        <w:rPr>
          <w:rFonts w:ascii="Calibri" w:hAnsi="Calibri"/>
          <w:b/>
          <w:color w:val="203548"/>
          <w:sz w:val="22"/>
        </w:rPr>
        <w:t xml:space="preserve">Cataluña — actuaciones de Bombers: </w:t>
      </w:r>
      <w:hyperlink r:id="rId18">
        <w:r>
          <w:rPr>
            <w:rFonts w:ascii="Calibri" w:hAnsi="Calibri"/>
            <w:color w:val="2E74B5"/>
            <w:u w:val="single"/>
            <w:sz w:val="22"/>
          </w:rPr>
          <w:t>https://interior.gencat.cat/ca/arees_dactuacio/bombers/actuacions-de-bombers/index.html</w:t>
        </w:r>
      </w:hyperlink>
      <w:r>
        <w:rPr>
          <w:rFonts w:ascii="Calibri" w:hAnsi="Calibri"/>
          <w:sz w:val="22"/>
        </w:rPr>
        <w:t>. Visor y datos abiertos.</w:t>
      </w:r>
    </w:p>
    <w:p>
      <w:pPr>
        <w:spacing w:after="80"/>
      </w:pPr>
      <w:r>
        <w:rPr>
          <w:rFonts w:ascii="Calibri" w:hAnsi="Calibri"/>
          <w:b/>
          <w:color w:val="203548"/>
          <w:sz w:val="22"/>
        </w:rPr>
        <w:t xml:space="preserve">Andalucía — INFOCA: </w:t>
      </w:r>
      <w:hyperlink r:id="rId19">
        <w:r>
          <w:rPr>
            <w:rFonts w:ascii="Calibri" w:hAnsi="Calibri"/>
            <w:color w:val="2E74B5"/>
            <w:u w:val="single"/>
            <w:sz w:val="22"/>
          </w:rPr>
          <w:t>https://www.juntadeandalucia.es/organismos/ema/areas/incendios-forestales/situacion/incendios-activos.html</w:t>
        </w:r>
      </w:hyperlink>
      <w:r>
        <w:rPr>
          <w:rFonts w:ascii="Calibri" w:hAnsi="Calibri"/>
          <w:sz w:val="22"/>
        </w:rPr>
        <w:t>. Dashboard oficial.</w:t>
      </w:r>
    </w:p>
    <w:p>
      <w:pPr>
        <w:pStyle w:val="Heading2"/>
      </w:pPr>
      <w:r>
        <w:t>Fuentes meteorológicas, informativas y comunitarias</w:t>
      </w:r>
    </w:p>
    <w:p>
      <w:pPr>
        <w:spacing w:after="80"/>
      </w:pPr>
      <w:r>
        <w:rPr>
          <w:rFonts w:ascii="Calibri" w:hAnsi="Calibri"/>
          <w:b/>
          <w:color w:val="203548"/>
          <w:sz w:val="22"/>
        </w:rPr>
        <w:t xml:space="preserve">Meteocat API: </w:t>
      </w:r>
      <w:hyperlink r:id="rId20">
        <w:r>
          <w:rPr>
            <w:rFonts w:ascii="Calibri" w:hAnsi="Calibri"/>
            <w:color w:val="2E74B5"/>
            <w:u w:val="single"/>
            <w:sz w:val="22"/>
          </w:rPr>
          <w:t>https://apidocs.meteocat.gencat.cat/</w:t>
        </w:r>
      </w:hyperlink>
      <w:r>
        <w:rPr>
          <w:rFonts w:ascii="Calibri" w:hAnsi="Calibri"/>
          <w:sz w:val="22"/>
        </w:rPr>
        <w:t>. REST JSON con API key.</w:t>
      </w:r>
    </w:p>
    <w:p>
      <w:pPr>
        <w:spacing w:after="80"/>
      </w:pPr>
      <w:r>
        <w:rPr>
          <w:rFonts w:ascii="Calibri" w:hAnsi="Calibri"/>
          <w:b/>
          <w:color w:val="203548"/>
          <w:sz w:val="22"/>
        </w:rPr>
        <w:t xml:space="preserve">Euskalmet API: </w:t>
      </w:r>
      <w:hyperlink r:id="rId21">
        <w:r>
          <w:rPr>
            <w:rFonts w:ascii="Calibri" w:hAnsi="Calibri"/>
            <w:color w:val="2E74B5"/>
            <w:u w:val="single"/>
            <w:sz w:val="22"/>
          </w:rPr>
          <w:t>https://opendata.euskadi.eus/api-euskalmet/</w:t>
        </w:r>
      </w:hyperlink>
      <w:r>
        <w:rPr>
          <w:rFonts w:ascii="Calibri" w:hAnsi="Calibri"/>
          <w:sz w:val="22"/>
        </w:rPr>
        <w:t>. REST JSON con registro.</w:t>
      </w:r>
    </w:p>
    <w:p>
      <w:pPr>
        <w:spacing w:after="80"/>
      </w:pPr>
      <w:r>
        <w:rPr>
          <w:rFonts w:ascii="Calibri" w:hAnsi="Calibri"/>
          <w:b/>
          <w:color w:val="203548"/>
          <w:sz w:val="22"/>
        </w:rPr>
        <w:t xml:space="preserve">MeteoGalicia — avisos: </w:t>
      </w:r>
      <w:hyperlink r:id="rId22">
        <w:r>
          <w:rPr>
            <w:rFonts w:ascii="Calibri" w:hAnsi="Calibri"/>
            <w:color w:val="2E74B5"/>
            <w:u w:val="single"/>
            <w:sz w:val="22"/>
          </w:rPr>
          <w:t>https://www.meteogalicia.gal/web/predicion/avisos?request_locale=es</w:t>
        </w:r>
      </w:hyperlink>
      <w:r>
        <w:rPr>
          <w:rFonts w:ascii="Calibri" w:hAnsi="Calibri"/>
          <w:sz w:val="22"/>
        </w:rPr>
        <w:t>. RSS y documentación.</w:t>
      </w:r>
    </w:p>
    <w:p>
      <w:pPr>
        <w:spacing w:after="80"/>
      </w:pPr>
      <w:r>
        <w:rPr>
          <w:rFonts w:ascii="Calibri" w:hAnsi="Calibri"/>
          <w:b/>
          <w:color w:val="203548"/>
          <w:sz w:val="22"/>
        </w:rPr>
        <w:t xml:space="preserve">RTVE RSS: </w:t>
      </w:r>
      <w:hyperlink r:id="rId23">
        <w:r>
          <w:rPr>
            <w:rFonts w:ascii="Calibri" w:hAnsi="Calibri"/>
            <w:color w:val="2E74B5"/>
            <w:u w:val="single"/>
            <w:sz w:val="22"/>
          </w:rPr>
          <w:t>https://www.rtve.es/rss/</w:t>
        </w:r>
      </w:hyperlink>
      <w:r>
        <w:rPr>
          <w:rFonts w:ascii="Calibri" w:hAnsi="Calibri"/>
          <w:sz w:val="22"/>
        </w:rPr>
        <w:t>. Canales oficiales.</w:t>
      </w:r>
    </w:p>
    <w:p>
      <w:pPr>
        <w:spacing w:after="80"/>
      </w:pPr>
      <w:r>
        <w:rPr>
          <w:rFonts w:ascii="Calibri" w:hAnsi="Calibri"/>
          <w:b/>
          <w:color w:val="203548"/>
          <w:sz w:val="22"/>
        </w:rPr>
        <w:t xml:space="preserve">RTVE — incendios: </w:t>
      </w:r>
      <w:hyperlink r:id="rId24">
        <w:r>
          <w:rPr>
            <w:rFonts w:ascii="Calibri" w:hAnsi="Calibri"/>
            <w:color w:val="2E74B5"/>
            <w:u w:val="single"/>
            <w:sz w:val="22"/>
          </w:rPr>
          <w:t>https://www.rtve.es/temas/incendios/3690/</w:t>
        </w:r>
      </w:hyperlink>
      <w:r>
        <w:rPr>
          <w:rFonts w:ascii="Calibri" w:hAnsi="Calibri"/>
          <w:sz w:val="22"/>
        </w:rPr>
        <w:t>. Página temática.</w:t>
      </w:r>
    </w:p>
    <w:p>
      <w:pPr>
        <w:spacing w:after="80"/>
      </w:pPr>
      <w:r>
        <w:rPr>
          <w:rFonts w:ascii="Calibri" w:hAnsi="Calibri"/>
          <w:b/>
          <w:color w:val="203548"/>
          <w:sz w:val="22"/>
        </w:rPr>
        <w:t xml:space="preserve">EFEverde — incendios: </w:t>
      </w:r>
      <w:hyperlink r:id="rId25">
        <w:r>
          <w:rPr>
            <w:rFonts w:ascii="Calibri" w:hAnsi="Calibri"/>
            <w:color w:val="2E74B5"/>
            <w:u w:val="single"/>
            <w:sz w:val="22"/>
          </w:rPr>
          <w:t>https://efeverde.com/desastres/incendios/</w:t>
        </w:r>
      </w:hyperlink>
      <w:r>
        <w:rPr>
          <w:rFonts w:ascii="Calibri" w:hAnsi="Calibri"/>
          <w:sz w:val="22"/>
        </w:rPr>
        <w:t>. Información ambiental.</w:t>
      </w:r>
    </w:p>
    <w:p>
      <w:pPr>
        <w:spacing w:after="80"/>
      </w:pPr>
      <w:r>
        <w:rPr>
          <w:rFonts w:ascii="Calibri" w:hAnsi="Calibri"/>
          <w:b/>
          <w:color w:val="203548"/>
          <w:sz w:val="22"/>
        </w:rPr>
        <w:t xml:space="preserve">Europa Press — incendios: </w:t>
      </w:r>
      <w:hyperlink r:id="rId26">
        <w:r>
          <w:rPr>
            <w:rFonts w:ascii="Calibri" w:hAnsi="Calibri"/>
            <w:color w:val="2E74B5"/>
            <w:u w:val="single"/>
            <w:sz w:val="22"/>
          </w:rPr>
          <w:t>https://www.europapress.es/temas/incendios-forestales/</w:t>
        </w:r>
      </w:hyperlink>
      <w:r>
        <w:rPr>
          <w:rFonts w:ascii="Calibri" w:hAnsi="Calibri"/>
          <w:sz w:val="22"/>
        </w:rPr>
        <w:t>. Página temática.</w:t>
      </w:r>
    </w:p>
    <w:p>
      <w:pPr>
        <w:spacing w:after="80"/>
      </w:pPr>
      <w:r>
        <w:rPr>
          <w:rFonts w:ascii="Calibri" w:hAnsi="Calibri"/>
          <w:b/>
          <w:color w:val="203548"/>
          <w:sz w:val="22"/>
        </w:rPr>
        <w:t xml:space="preserve">Cazatormentas: </w:t>
      </w:r>
      <w:hyperlink r:id="rId27">
        <w:r>
          <w:rPr>
            <w:rFonts w:ascii="Calibri" w:hAnsi="Calibri"/>
            <w:color w:val="2E74B5"/>
            <w:u w:val="single"/>
            <w:sz w:val="22"/>
          </w:rPr>
          <w:t>https://cazatormentas.com/foro/index.php</w:t>
        </w:r>
      </w:hyperlink>
      <w:r>
        <w:rPr>
          <w:rFonts w:ascii="Calibri" w:hAnsi="Calibri"/>
          <w:sz w:val="22"/>
        </w:rPr>
        <w:t>. Foro comunitario.</w:t>
      </w:r>
    </w:p>
    <w:p>
      <w:pPr>
        <w:spacing w:after="80"/>
      </w:pPr>
      <w:r>
        <w:rPr>
          <w:rFonts w:ascii="Calibri" w:hAnsi="Calibri"/>
          <w:b/>
          <w:color w:val="203548"/>
          <w:sz w:val="22"/>
        </w:rPr>
        <w:t xml:space="preserve">Foro Tiempo.com: </w:t>
      </w:r>
      <w:hyperlink r:id="rId28">
        <w:r>
          <w:rPr>
            <w:rFonts w:ascii="Calibri" w:hAnsi="Calibri"/>
            <w:color w:val="2E74B5"/>
            <w:u w:val="single"/>
            <w:sz w:val="22"/>
          </w:rPr>
          <w:t>https://foro.tiempo.com/meteorologia-general-b1.0/</w:t>
        </w:r>
      </w:hyperlink>
      <w:r>
        <w:rPr>
          <w:rFonts w:ascii="Calibri" w:hAnsi="Calibri"/>
          <w:sz w:val="22"/>
        </w:rPr>
        <w:t>. Foro meteorológico.</w:t>
      </w:r>
    </w:p>
    <w:p>
      <w:pPr>
        <w:pStyle w:val="Heading1"/>
      </w:pPr>
      <w:r>
        <w:t>Anexo B. Checklist de puesta en marcha</w:t>
      </w:r>
    </w:p>
    <w:p>
      <w:pPr>
        <w:pStyle w:val="ListBullet"/>
        <w:spacing w:after="80" w:line="264" w:lineRule="auto"/>
      </w:pPr>
      <w:r>
        <w:t>Registrar cada fuente con propietario, método de conexión, frecuencia, licencia y nivel de confianza.</w:t>
      </w:r>
    </w:p>
    <w:p>
      <w:pPr>
        <w:pStyle w:val="ListBullet"/>
        <w:spacing w:after="80" w:line="264" w:lineRule="auto"/>
      </w:pPr>
      <w:r>
        <w:t>Guardar las API keys en secretos de servidor y excluirlas del control de versiones.</w:t>
      </w:r>
    </w:p>
    <w:p>
      <w:pPr>
        <w:pStyle w:val="ListBullet"/>
        <w:spacing w:after="80" w:line="264" w:lineRule="auto"/>
      </w:pPr>
      <w:r>
        <w:t>Conservar una copia original, hash y fecha de captura antes de transformar cada recurso.</w:t>
      </w:r>
    </w:p>
    <w:p>
      <w:pPr>
        <w:pStyle w:val="ListBullet"/>
        <w:spacing w:after="80" w:line="264" w:lineRule="auto"/>
      </w:pPr>
      <w:r>
        <w:t>Implementar ETag, Last-Modified, caché, timeout, reintentos y límites de petición.</w:t>
      </w:r>
    </w:p>
    <w:p>
      <w:pPr>
        <w:pStyle w:val="ListBullet"/>
        <w:spacing w:after="80" w:line="264" w:lineRule="auto"/>
      </w:pPr>
      <w:r>
        <w:t>Validar el filtro territorial con geometrías de España, islas, Ceuta y Melilla.</w:t>
      </w:r>
    </w:p>
    <w:p>
      <w:pPr>
        <w:pStyle w:val="ListBullet"/>
        <w:spacing w:after="80" w:line="264" w:lineRule="auto"/>
      </w:pPr>
      <w:r>
        <w:t>Separar incidentes confirmados, anomalías térmicas, noticias y contenido comunitario.</w:t>
      </w:r>
    </w:p>
    <w:p>
      <w:pPr>
        <w:pStyle w:val="ListBullet"/>
        <w:spacing w:after="80" w:line="264" w:lineRule="auto"/>
      </w:pPr>
      <w:r>
        <w:t>Comprobar que los avisos expirados no aparecen como vigentes.</w:t>
      </w:r>
    </w:p>
    <w:p>
      <w:pPr>
        <w:pStyle w:val="ListBullet"/>
        <w:spacing w:after="80" w:line="264" w:lineRule="auto"/>
      </w:pPr>
      <w:r>
        <w:t>Probar cambios de estado: activo, estabilizado, controlado y extinguido.</w:t>
      </w:r>
    </w:p>
    <w:p>
      <w:pPr>
        <w:pStyle w:val="ListBullet"/>
        <w:spacing w:after="80" w:line="264" w:lineRule="auto"/>
      </w:pPr>
      <w:r>
        <w:t>Monitorizar retraso de actualización, errores, volumen y cambios de estructura por fuente.</w:t>
      </w:r>
    </w:p>
    <w:p>
      <w:pPr>
        <w:pStyle w:val="ListBullet"/>
        <w:spacing w:after="80" w:line="264" w:lineRule="auto"/>
      </w:pPr>
      <w:r>
        <w:t>Exigir fuente, URL y marca temporal en toda respuesta generada por el RAG.</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Calibri" w:hAnsi="Calibri"/>
        <w:color w:val="5F6B76"/>
        <w:sz w:val="18"/>
      </w:rPr>
      <w:t xml:space="preserve">Página </w:t>
    </w:r>
    <w:r>
      <w:rPr>
        <w:rFonts w:ascii="Calibri" w:hAnsi="Calibri"/>
        <w:color w:val="5F6B76"/>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color w:val="5F6B76"/>
        <w:sz w:val="18"/>
      </w:rPr>
      <w:t>TFM · Sistema RAG para incendios y meteorología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lvlJc w:val="left"/>
      <w:pPr>
        <w:tabs>
          <w:tab w:val="num" w:pos="720"/>
        </w:tabs>
        <w:ind w:left="720" w:hanging="360"/>
      </w:pPr>
    </w:lvl>
  </w:abstractNum>
  <w:num w:numId="10">
    <w:abstractNumId w:val="9"/>
  </w:num>
  <w:abstractNum w:abstractNumId="10">
    <w:multiLevelType w:val="singleLevel"/>
    <w:lvl w:ilvl="0">
      <w:start w:val="1"/>
      <w:numFmt w:val="decimal"/>
      <w:lvlText w:val="%1."/>
      <w:lvlJc w:val="left"/>
      <w:pPr>
        <w:tabs>
          <w:tab w:val="num" w:pos="720"/>
        </w:tabs>
        <w:ind w:left="720" w:hanging="360"/>
      </w:pPr>
    </w:lvl>
  </w:abstractNum>
  <w:num w:numId="11">
    <w:abstractNumId w:val="10"/>
  </w:num>
  <w:abstractNum w:abstractNumId="11">
    <w:multiLevelType w:val="singleLevel"/>
    <w:lvl w:ilvl="0">
      <w:start w:val="1"/>
      <w:numFmt w:val="decimal"/>
      <w:lvlText w:val="%1."/>
      <w:lvlJc w:val="left"/>
      <w:pPr>
        <w:tabs>
          <w:tab w:val="num" w:pos="720"/>
        </w:tabs>
        <w:ind w:left="720" w:hanging="360"/>
      </w:p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20354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64" w:lineRule="auto"/>
      <w:contextualSpacing/>
    </w:pPr>
    <w:rPr>
      <w:rFonts w:ascii="Calibri" w:hAnsi="Calibri"/>
      <w:sz w:val="22"/>
    </w:rPr>
  </w:style>
  <w:style w:type="paragraph" w:styleId="ListBullet2">
    <w:name w:val="List Bullet 2"/>
    <w:basedOn w:val="Normal"/>
    <w:uiPriority w:val="99"/>
    <w:unhideWhenUsed/>
    <w:rsid w:val="00326F90"/>
    <w:pPr>
      <w:numPr>
        <w:numId w:val="2"/>
      </w:numPr>
      <w:spacing w:after="100" w:line="264" w:lineRule="auto"/>
      <w:contextualSpacing/>
    </w:pPr>
    <w:rPr>
      <w:rFonts w:ascii="Calibri" w:hAnsi="Calibri"/>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line="264"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aemet.es/es/rss_info/avisos/esp" TargetMode="External"/><Relationship Id="rId12" Type="http://schemas.openxmlformats.org/officeDocument/2006/relationships/hyperlink" Target="https://opendata.aemet.es/centrodedescargas/AEMETApi" TargetMode="External"/><Relationship Id="rId13" Type="http://schemas.openxmlformats.org/officeDocument/2006/relationships/hyperlink" Target="https://www.miteco.gob.es/es/biodiversidad/temas/incendios-forestales/estadisticas-actuaciones.html" TargetMode="External"/><Relationship Id="rId14" Type="http://schemas.openxmlformats.org/officeDocument/2006/relationships/hyperlink" Target="https://www.miteco.gob.es/es/biodiversidad/temas/incendios-forestales/estadisticas-datos.html" TargetMode="External"/><Relationship Id="rId15" Type="http://schemas.openxmlformats.org/officeDocument/2006/relationships/hyperlink" Target="https://forest-fire.emergency.copernicus.eu/applications/data-and-services" TargetMode="External"/><Relationship Id="rId16" Type="http://schemas.openxmlformats.org/officeDocument/2006/relationships/hyperlink" Target="https://forest-fire.emergency.copernicus.eu/about-effis/data-license" TargetMode="External"/><Relationship Id="rId17" Type="http://schemas.openxmlformats.org/officeDocument/2006/relationships/hyperlink" Target="https://jcyl.opendatasoft.com/explore/dataset/incendios-forestales/" TargetMode="External"/><Relationship Id="rId18" Type="http://schemas.openxmlformats.org/officeDocument/2006/relationships/hyperlink" Target="https://interior.gencat.cat/ca/arees_dactuacio/bombers/actuacions-de-bombers/index.html" TargetMode="External"/><Relationship Id="rId19" Type="http://schemas.openxmlformats.org/officeDocument/2006/relationships/hyperlink" Target="https://www.juntadeandalucia.es/organismos/ema/areas/incendios-forestales/situacion/incendios-activos.html" TargetMode="External"/><Relationship Id="rId20" Type="http://schemas.openxmlformats.org/officeDocument/2006/relationships/hyperlink" Target="https://apidocs.meteocat.gencat.cat/" TargetMode="External"/><Relationship Id="rId21" Type="http://schemas.openxmlformats.org/officeDocument/2006/relationships/hyperlink" Target="https://opendata.euskadi.eus/api-euskalmet/" TargetMode="External"/><Relationship Id="rId22" Type="http://schemas.openxmlformats.org/officeDocument/2006/relationships/hyperlink" Target="https://www.meteogalicia.gal/web/predicion/avisos?request_locale=es" TargetMode="External"/><Relationship Id="rId23" Type="http://schemas.openxmlformats.org/officeDocument/2006/relationships/hyperlink" Target="https://www.rtve.es/rss/" TargetMode="External"/><Relationship Id="rId24" Type="http://schemas.openxmlformats.org/officeDocument/2006/relationships/hyperlink" Target="https://www.rtve.es/temas/incendios/3690/" TargetMode="External"/><Relationship Id="rId25" Type="http://schemas.openxmlformats.org/officeDocument/2006/relationships/hyperlink" Target="https://efeverde.com/desastres/incendios/" TargetMode="External"/><Relationship Id="rId26" Type="http://schemas.openxmlformats.org/officeDocument/2006/relationships/hyperlink" Target="https://www.europapress.es/temas/incendios-forestales/" TargetMode="External"/><Relationship Id="rId27" Type="http://schemas.openxmlformats.org/officeDocument/2006/relationships/hyperlink" Target="https://cazatormentas.com/foro/index.php" TargetMode="External"/><Relationship Id="rId28" Type="http://schemas.openxmlformats.org/officeDocument/2006/relationships/hyperlink" Target="https://foro.tiempo.com/meteorologia-general-b1.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Propuesta técnica para un RAG de avisos meteorológicos e incendios en España</dc:title>
  <dc:subject>Trabajo Fin de Máster</dc:subject>
  <dc:creator>Equipo del TFM</dc:creator>
  <cp:keywords>RAG, incendios forestales, AEMET, scraping, España, meteorología</cp:keywords>
  <dc:description>Documento técnico generado para la planificación del TFM.</dc:description>
  <cp:lastModifiedBy/>
  <cp:revision>1</cp:revision>
  <dcterms:created xsi:type="dcterms:W3CDTF">2013-12-23T23:15:00Z</dcterms:created>
  <dcterms:modified xsi:type="dcterms:W3CDTF">2013-12-23T23:15:00Z</dcterms:modified>
  <cp:category/>
</cp:coreProperties>
</file>