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6DE" w:rsidRDefault="00CA643B" w:rsidP="00CA643B">
      <w:pPr>
        <w:pStyle w:val="Title"/>
        <w:rPr>
          <w:lang w:val="en-CA"/>
        </w:rPr>
      </w:pPr>
      <w:r>
        <w:rPr>
          <w:lang w:val="en-CA"/>
        </w:rPr>
        <w:t>Research Notes</w:t>
      </w:r>
    </w:p>
    <w:p w:rsidR="00CA643B" w:rsidRDefault="00CA643B" w:rsidP="00CA643B">
      <w:pPr>
        <w:pStyle w:val="Heading1"/>
        <w:rPr>
          <w:lang w:val="en-CA"/>
        </w:rPr>
      </w:pPr>
      <w:r>
        <w:rPr>
          <w:lang w:val="en-CA"/>
        </w:rPr>
        <w:t>Red Hat Enterprise – IBM Summit</w:t>
      </w:r>
    </w:p>
    <w:p w:rsidR="00CA643B" w:rsidRDefault="00CA643B" w:rsidP="00CA643B">
      <w:pPr>
        <w:rPr>
          <w:lang w:val="en-CA"/>
        </w:rPr>
      </w:pPr>
    </w:p>
    <w:tbl>
      <w:tblPr>
        <w:tblStyle w:val="TableGrid"/>
        <w:tblW w:w="9350" w:type="dxa"/>
        <w:tblLayout w:type="fixed"/>
        <w:tblLook w:val="04A0" w:firstRow="1" w:lastRow="0" w:firstColumn="1" w:lastColumn="0" w:noHBand="0" w:noVBand="1"/>
      </w:tblPr>
      <w:tblGrid>
        <w:gridCol w:w="1444"/>
        <w:gridCol w:w="5841"/>
        <w:gridCol w:w="2065"/>
      </w:tblGrid>
      <w:tr w:rsidR="003E3675" w:rsidTr="00250686">
        <w:trPr>
          <w:trHeight w:val="404"/>
        </w:trPr>
        <w:tc>
          <w:tcPr>
            <w:tcW w:w="1444" w:type="dxa"/>
          </w:tcPr>
          <w:p w:rsidR="003E3675" w:rsidRPr="00CA643B" w:rsidRDefault="003E3675" w:rsidP="00CA643B">
            <w:pPr>
              <w:pStyle w:val="Heading1"/>
              <w:jc w:val="left"/>
              <w:outlineLvl w:val="0"/>
              <w:rPr>
                <w:rStyle w:val="Strong"/>
              </w:rPr>
            </w:pPr>
            <w:r w:rsidRPr="00CA643B">
              <w:rPr>
                <w:rStyle w:val="Strong"/>
              </w:rPr>
              <w:t>Topic</w:t>
            </w:r>
          </w:p>
        </w:tc>
        <w:tc>
          <w:tcPr>
            <w:tcW w:w="5841" w:type="dxa"/>
          </w:tcPr>
          <w:p w:rsidR="003E3675" w:rsidRPr="00CA643B" w:rsidRDefault="003E3675" w:rsidP="00CA643B">
            <w:pPr>
              <w:pStyle w:val="Heading1"/>
              <w:outlineLvl w:val="0"/>
              <w:rPr>
                <w:rStyle w:val="Strong"/>
              </w:rPr>
            </w:pPr>
            <w:r w:rsidRPr="00CA643B">
              <w:rPr>
                <w:rStyle w:val="Strong"/>
              </w:rPr>
              <w:t>Research</w:t>
            </w:r>
          </w:p>
        </w:tc>
        <w:tc>
          <w:tcPr>
            <w:tcW w:w="2065" w:type="dxa"/>
          </w:tcPr>
          <w:p w:rsidR="003E3675" w:rsidRPr="00CA643B" w:rsidRDefault="003E3675" w:rsidP="00CA643B">
            <w:pPr>
              <w:pStyle w:val="Heading1"/>
              <w:outlineLvl w:val="0"/>
              <w:rPr>
                <w:rStyle w:val="Strong"/>
              </w:rPr>
            </w:pPr>
            <w:r>
              <w:rPr>
                <w:rStyle w:val="Strong"/>
              </w:rPr>
              <w:t>Reference</w:t>
            </w:r>
            <w:r w:rsidR="00250686">
              <w:rPr>
                <w:rStyle w:val="Strong"/>
              </w:rPr>
              <w:t>s</w:t>
            </w:r>
          </w:p>
        </w:tc>
      </w:tr>
      <w:tr w:rsidR="003E3675" w:rsidTr="00250686">
        <w:trPr>
          <w:trHeight w:val="1996"/>
        </w:trPr>
        <w:tc>
          <w:tcPr>
            <w:tcW w:w="1444" w:type="dxa"/>
          </w:tcPr>
          <w:p w:rsidR="003E3675" w:rsidRPr="00CA643B" w:rsidRDefault="003E3675" w:rsidP="00CA643B">
            <w:pPr>
              <w:rPr>
                <w:b/>
                <w:i/>
                <w:lang w:val="en-CA"/>
              </w:rPr>
            </w:pPr>
            <w:r w:rsidRPr="00CA643B">
              <w:rPr>
                <w:b/>
                <w:i/>
                <w:lang w:val="en-CA"/>
              </w:rPr>
              <w:t>Application Software</w:t>
            </w:r>
          </w:p>
        </w:tc>
        <w:tc>
          <w:tcPr>
            <w:tcW w:w="5841" w:type="dxa"/>
          </w:tcPr>
          <w:p w:rsidR="003E3675" w:rsidRDefault="006527F5" w:rsidP="008C1ED8">
            <w:pPr>
              <w:pStyle w:val="ListParagraph"/>
              <w:numPr>
                <w:ilvl w:val="0"/>
                <w:numId w:val="2"/>
              </w:numPr>
              <w:rPr>
                <w:lang w:val="en-CA"/>
              </w:rPr>
            </w:pPr>
            <w:r>
              <w:rPr>
                <w:lang w:val="en-CA"/>
              </w:rPr>
              <w:t> </w:t>
            </w:r>
            <w:r w:rsidRPr="006527F5">
              <w:rPr>
                <w:lang w:val="en-CA"/>
              </w:rPr>
              <w:t>Our AI software, like Distributed Deep Learning (PowerAI DDL), can teach computers to identify objects in images, understand the contents of documents, forecast demand or assess risk. As an example, we showed that using supercomputing technology, we could train a model to identify things at higher than human accuracy. Image recognition software has potential applications in a wide variety of fields – from identification of cancer in medical scans to assessing damage after a hurricane.</w:t>
            </w:r>
          </w:p>
          <w:p w:rsidR="00250686" w:rsidRDefault="00250686" w:rsidP="008C1ED8">
            <w:pPr>
              <w:pStyle w:val="ListParagraph"/>
              <w:numPr>
                <w:ilvl w:val="0"/>
                <w:numId w:val="2"/>
              </w:numPr>
              <w:rPr>
                <w:lang w:val="en-CA"/>
              </w:rPr>
            </w:pPr>
            <w:r w:rsidRPr="00250686">
              <w:rPr>
                <w:lang w:val="en-CA"/>
              </w:rPr>
              <w:t>The computing power of a bleeding-edge machine like Summit can help train AI much faster than traditional computers. We know that having much shorter time to solution means that ultimately people have higher quality AI, can apply AI to more data types and create more solutions — because it becomes more feasible to run lots of studies.  Our research team is working not only on Summit-scale AI, but also on systems for AI in the enterprise – taking mini versions of Summit technology (the AC922 Power9 system and PowerAI software) into clients’ data centers to help them create AI on their own data.</w:t>
            </w:r>
          </w:p>
          <w:p w:rsidR="00250686" w:rsidRDefault="00250686" w:rsidP="008C1ED8">
            <w:pPr>
              <w:pStyle w:val="ListParagraph"/>
              <w:numPr>
                <w:ilvl w:val="0"/>
                <w:numId w:val="2"/>
              </w:numPr>
              <w:rPr>
                <w:lang w:val="en-CA"/>
              </w:rPr>
            </w:pPr>
            <w:r w:rsidRPr="00250686">
              <w:rPr>
                <w:lang w:val="en-CA"/>
              </w:rPr>
              <w:t> It will provide at least 5-10X more performance on DOE</w:t>
            </w:r>
            <w:r>
              <w:rPr>
                <w:lang w:val="en-CA"/>
              </w:rPr>
              <w:t xml:space="preserve"> (Department of Energy)</w:t>
            </w:r>
            <w:r w:rsidRPr="00250686">
              <w:rPr>
                <w:lang w:val="en-CA"/>
              </w:rPr>
              <w:t xml:space="preserve"> applications compared to its predecessor</w:t>
            </w:r>
          </w:p>
          <w:p w:rsidR="00017AA8" w:rsidRPr="00CA643B" w:rsidRDefault="00017AA8" w:rsidP="008C1ED8">
            <w:pPr>
              <w:pStyle w:val="ListParagraph"/>
              <w:numPr>
                <w:ilvl w:val="0"/>
                <w:numId w:val="2"/>
              </w:numPr>
              <w:rPr>
                <w:lang w:val="en-CA"/>
              </w:rPr>
            </w:pPr>
            <w:r>
              <w:rPr>
                <w:lang w:val="en-CA"/>
              </w:rPr>
              <w:t>DOE can manage power transmission to other countries from American electricity</w:t>
            </w:r>
          </w:p>
        </w:tc>
        <w:tc>
          <w:tcPr>
            <w:tcW w:w="2065" w:type="dxa"/>
          </w:tcPr>
          <w:p w:rsidR="003E3675" w:rsidRDefault="00714DA5" w:rsidP="003E3675">
            <w:pPr>
              <w:rPr>
                <w:rStyle w:val="Hyperlink"/>
              </w:rPr>
            </w:pPr>
            <w:hyperlink r:id="rId8" w:history="1">
              <w:r w:rsidR="003E3675">
                <w:rPr>
                  <w:rStyle w:val="Hyperlink"/>
                </w:rPr>
                <w:t>https://www.omgubuntu.co.uk/2018/06/summit-supercomputer-red-hat-linux</w:t>
              </w:r>
            </w:hyperlink>
          </w:p>
          <w:p w:rsidR="00017AA8" w:rsidRDefault="00017AA8" w:rsidP="003E3675"/>
          <w:p w:rsidR="006527F5" w:rsidRPr="003E3675" w:rsidRDefault="00714DA5" w:rsidP="003E3675">
            <w:pPr>
              <w:rPr>
                <w:lang w:val="en-CA"/>
              </w:rPr>
            </w:pPr>
            <w:hyperlink r:id="rId9" w:history="1">
              <w:r w:rsidR="006527F5">
                <w:rPr>
                  <w:rStyle w:val="Hyperlink"/>
                </w:rPr>
                <w:t>https://www.ibm.com/blogs/research/2018/06/summit/</w:t>
              </w:r>
            </w:hyperlink>
          </w:p>
        </w:tc>
      </w:tr>
      <w:tr w:rsidR="003E3675" w:rsidTr="00250686">
        <w:trPr>
          <w:trHeight w:val="997"/>
        </w:trPr>
        <w:tc>
          <w:tcPr>
            <w:tcW w:w="1444" w:type="dxa"/>
          </w:tcPr>
          <w:p w:rsidR="003E3675" w:rsidRPr="00CA643B" w:rsidRDefault="003E3675" w:rsidP="00CA643B">
            <w:pPr>
              <w:rPr>
                <w:b/>
                <w:i/>
                <w:lang w:val="en-CA"/>
              </w:rPr>
            </w:pPr>
            <w:r w:rsidRPr="00CA643B">
              <w:rPr>
                <w:b/>
                <w:i/>
                <w:lang w:val="en-CA"/>
              </w:rPr>
              <w:t>Hardware</w:t>
            </w:r>
          </w:p>
        </w:tc>
        <w:tc>
          <w:tcPr>
            <w:tcW w:w="5841" w:type="dxa"/>
          </w:tcPr>
          <w:p w:rsidR="008C1ED8" w:rsidRPr="008C1ED8" w:rsidRDefault="008C1ED8" w:rsidP="00D201DA">
            <w:pPr>
              <w:pStyle w:val="ListParagraph"/>
              <w:numPr>
                <w:ilvl w:val="0"/>
                <w:numId w:val="2"/>
              </w:numPr>
              <w:rPr>
                <w:lang w:val="en-CA"/>
              </w:rPr>
            </w:pPr>
            <w:r w:rsidRPr="008C1ED8">
              <w:rPr>
                <w:lang w:val="en-CA"/>
              </w:rPr>
              <w:t>Specs for the IBM Summit</w:t>
            </w:r>
          </w:p>
          <w:p w:rsidR="008C1ED8" w:rsidRDefault="008C1ED8" w:rsidP="00D201DA">
            <w:pPr>
              <w:pStyle w:val="ListParagraph"/>
              <w:numPr>
                <w:ilvl w:val="1"/>
                <w:numId w:val="2"/>
              </w:numPr>
              <w:rPr>
                <w:lang w:val="en-CA"/>
              </w:rPr>
            </w:pPr>
            <w:r w:rsidRPr="008C1ED8">
              <w:rPr>
                <w:lang w:val="en-CA"/>
              </w:rPr>
              <w:t>Application Performance</w:t>
            </w:r>
            <w:r>
              <w:rPr>
                <w:lang w:val="en-CA"/>
              </w:rPr>
              <w:t xml:space="preserve"> </w:t>
            </w:r>
            <w:r w:rsidRPr="008C1ED8">
              <w:rPr>
                <w:lang w:val="en-CA"/>
              </w:rPr>
              <w:t>200 PF</w:t>
            </w:r>
          </w:p>
          <w:p w:rsidR="008C1ED8" w:rsidRDefault="008C1ED8" w:rsidP="00D201DA">
            <w:pPr>
              <w:pStyle w:val="ListParagraph"/>
              <w:numPr>
                <w:ilvl w:val="1"/>
                <w:numId w:val="2"/>
              </w:numPr>
              <w:rPr>
                <w:lang w:val="en-CA"/>
              </w:rPr>
            </w:pPr>
            <w:r w:rsidRPr="008C1ED8">
              <w:rPr>
                <w:lang w:val="en-CA"/>
              </w:rPr>
              <w:t>Number of Nodes</w:t>
            </w:r>
            <w:r w:rsidR="00D201DA">
              <w:rPr>
                <w:lang w:val="en-CA"/>
              </w:rPr>
              <w:t xml:space="preserve"> </w:t>
            </w:r>
            <w:r w:rsidRPr="008C1ED8">
              <w:rPr>
                <w:lang w:val="en-CA"/>
              </w:rPr>
              <w:t>4,608</w:t>
            </w:r>
          </w:p>
          <w:p w:rsidR="008C1ED8" w:rsidRDefault="008C1ED8" w:rsidP="00D201DA">
            <w:pPr>
              <w:pStyle w:val="ListParagraph"/>
              <w:numPr>
                <w:ilvl w:val="1"/>
                <w:numId w:val="2"/>
              </w:numPr>
              <w:rPr>
                <w:lang w:val="en-CA"/>
              </w:rPr>
            </w:pPr>
            <w:r w:rsidRPr="008C1ED8">
              <w:rPr>
                <w:lang w:val="en-CA"/>
              </w:rPr>
              <w:t>Node performance</w:t>
            </w:r>
            <w:r>
              <w:rPr>
                <w:lang w:val="en-CA"/>
              </w:rPr>
              <w:t xml:space="preserve"> </w:t>
            </w:r>
            <w:r w:rsidRPr="008C1ED8">
              <w:rPr>
                <w:lang w:val="en-CA"/>
              </w:rPr>
              <w:t>42 TF</w:t>
            </w:r>
          </w:p>
          <w:p w:rsidR="008C1ED8" w:rsidRDefault="008C1ED8" w:rsidP="00D201DA">
            <w:pPr>
              <w:pStyle w:val="ListParagraph"/>
              <w:numPr>
                <w:ilvl w:val="1"/>
                <w:numId w:val="2"/>
              </w:numPr>
              <w:rPr>
                <w:lang w:val="en-CA"/>
              </w:rPr>
            </w:pPr>
            <w:r w:rsidRPr="008C1ED8">
              <w:rPr>
                <w:lang w:val="en-CA"/>
              </w:rPr>
              <w:t>Memory per Node</w:t>
            </w:r>
            <w:r>
              <w:rPr>
                <w:lang w:val="en-CA"/>
              </w:rPr>
              <w:t xml:space="preserve"> </w:t>
            </w:r>
            <w:r w:rsidRPr="008C1ED8">
              <w:rPr>
                <w:lang w:val="en-CA"/>
              </w:rPr>
              <w:t xml:space="preserve">512 GB </w:t>
            </w:r>
          </w:p>
          <w:p w:rsidR="008C1ED8" w:rsidRDefault="008C1ED8" w:rsidP="00D201DA">
            <w:pPr>
              <w:pStyle w:val="ListParagraph"/>
              <w:numPr>
                <w:ilvl w:val="1"/>
                <w:numId w:val="2"/>
              </w:numPr>
              <w:rPr>
                <w:lang w:val="en-CA"/>
              </w:rPr>
            </w:pPr>
            <w:r w:rsidRPr="008C1ED8">
              <w:rPr>
                <w:lang w:val="en-CA"/>
              </w:rPr>
              <w:t>DDR4 + 96 GB HBM2</w:t>
            </w:r>
          </w:p>
          <w:p w:rsidR="008C1ED8" w:rsidRDefault="008C1ED8" w:rsidP="00D201DA">
            <w:pPr>
              <w:pStyle w:val="ListParagraph"/>
              <w:numPr>
                <w:ilvl w:val="1"/>
                <w:numId w:val="2"/>
              </w:numPr>
              <w:rPr>
                <w:lang w:val="en-CA"/>
              </w:rPr>
            </w:pPr>
            <w:r w:rsidRPr="008C1ED8">
              <w:rPr>
                <w:lang w:val="en-CA"/>
              </w:rPr>
              <w:t>NV memory per Node</w:t>
            </w:r>
            <w:r>
              <w:rPr>
                <w:lang w:val="en-CA"/>
              </w:rPr>
              <w:t xml:space="preserve"> </w:t>
            </w:r>
            <w:r w:rsidRPr="008C1ED8">
              <w:rPr>
                <w:lang w:val="en-CA"/>
              </w:rPr>
              <w:t xml:space="preserve">1600 GB </w:t>
            </w:r>
          </w:p>
          <w:p w:rsidR="008C1ED8" w:rsidRDefault="008C1ED8" w:rsidP="00D201DA">
            <w:pPr>
              <w:pStyle w:val="ListParagraph"/>
              <w:numPr>
                <w:ilvl w:val="1"/>
                <w:numId w:val="2"/>
              </w:numPr>
              <w:rPr>
                <w:lang w:val="en-CA"/>
              </w:rPr>
            </w:pPr>
            <w:r w:rsidRPr="008C1ED8">
              <w:rPr>
                <w:lang w:val="en-CA"/>
              </w:rPr>
              <w:t>Total System Memory&gt;10 PB DDR4 + HBM2 + Non-volatile</w:t>
            </w:r>
          </w:p>
          <w:p w:rsidR="008C1ED8" w:rsidRDefault="008C1ED8" w:rsidP="00D201DA">
            <w:pPr>
              <w:pStyle w:val="ListParagraph"/>
              <w:numPr>
                <w:ilvl w:val="1"/>
                <w:numId w:val="2"/>
              </w:numPr>
              <w:rPr>
                <w:lang w:val="en-CA"/>
              </w:rPr>
            </w:pPr>
            <w:r w:rsidRPr="008C1ED8">
              <w:rPr>
                <w:lang w:val="en-CA"/>
              </w:rPr>
              <w:t>Pro</w:t>
            </w:r>
            <w:r>
              <w:rPr>
                <w:lang w:val="en-CA"/>
              </w:rPr>
              <w:t>cessors2 IBM POWER9™ 9,216 CPUs</w:t>
            </w:r>
          </w:p>
          <w:p w:rsidR="008C1ED8" w:rsidRDefault="008C1ED8" w:rsidP="00D201DA">
            <w:pPr>
              <w:pStyle w:val="ListParagraph"/>
              <w:numPr>
                <w:ilvl w:val="1"/>
                <w:numId w:val="2"/>
              </w:numPr>
              <w:rPr>
                <w:lang w:val="en-CA"/>
              </w:rPr>
            </w:pPr>
            <w:r w:rsidRPr="008C1ED8">
              <w:rPr>
                <w:lang w:val="en-CA"/>
              </w:rPr>
              <w:t>6 NVIDIA Volta™ 27,648 GPUs</w:t>
            </w:r>
          </w:p>
          <w:p w:rsidR="008C1ED8" w:rsidRDefault="008C1ED8" w:rsidP="00D201DA">
            <w:pPr>
              <w:pStyle w:val="ListParagraph"/>
              <w:numPr>
                <w:ilvl w:val="1"/>
                <w:numId w:val="2"/>
              </w:numPr>
              <w:rPr>
                <w:lang w:val="en-CA"/>
              </w:rPr>
            </w:pPr>
            <w:r w:rsidRPr="008C1ED8">
              <w:rPr>
                <w:lang w:val="en-CA"/>
              </w:rPr>
              <w:lastRenderedPageBreak/>
              <w:t>File System250 PB, 2.5 TB/s, GPFS™</w:t>
            </w:r>
          </w:p>
          <w:p w:rsidR="008C1ED8" w:rsidRDefault="008C1ED8" w:rsidP="00D201DA">
            <w:pPr>
              <w:pStyle w:val="ListParagraph"/>
              <w:numPr>
                <w:ilvl w:val="1"/>
                <w:numId w:val="2"/>
              </w:numPr>
              <w:rPr>
                <w:lang w:val="en-CA"/>
              </w:rPr>
            </w:pPr>
            <w:r w:rsidRPr="008C1ED8">
              <w:rPr>
                <w:lang w:val="en-CA"/>
              </w:rPr>
              <w:t>Power Consumption13 MW</w:t>
            </w:r>
          </w:p>
          <w:p w:rsidR="008C1ED8" w:rsidRPr="00D201DA" w:rsidRDefault="008C1ED8" w:rsidP="00D201DA">
            <w:pPr>
              <w:pStyle w:val="ListParagraph"/>
              <w:numPr>
                <w:ilvl w:val="1"/>
                <w:numId w:val="2"/>
              </w:numPr>
              <w:rPr>
                <w:lang w:val="fr-CA"/>
              </w:rPr>
            </w:pPr>
            <w:r w:rsidRPr="00D201DA">
              <w:rPr>
                <w:lang w:val="fr-CA"/>
              </w:rPr>
              <w:t>Interconnect</w:t>
            </w:r>
            <w:r w:rsidR="00D201DA" w:rsidRPr="00D201DA">
              <w:rPr>
                <w:lang w:val="fr-CA"/>
              </w:rPr>
              <w:t xml:space="preserve"> </w:t>
            </w:r>
            <w:r w:rsidRPr="00D201DA">
              <w:rPr>
                <w:lang w:val="fr-CA"/>
              </w:rPr>
              <w:t>Mellanox EDR 100G InfiniBand</w:t>
            </w:r>
          </w:p>
          <w:p w:rsidR="008C1ED8" w:rsidRDefault="008C1ED8" w:rsidP="00D201DA">
            <w:pPr>
              <w:pStyle w:val="ListParagraph"/>
              <w:numPr>
                <w:ilvl w:val="1"/>
                <w:numId w:val="2"/>
              </w:numPr>
              <w:rPr>
                <w:lang w:val="en-CA"/>
              </w:rPr>
            </w:pPr>
            <w:r w:rsidRPr="008C1ED8">
              <w:rPr>
                <w:lang w:val="en-CA"/>
              </w:rPr>
              <w:t>Operating System</w:t>
            </w:r>
            <w:r w:rsidR="00D201DA">
              <w:rPr>
                <w:lang w:val="en-CA"/>
              </w:rPr>
              <w:t xml:space="preserve"> </w:t>
            </w:r>
            <w:r w:rsidRPr="008C1ED8">
              <w:rPr>
                <w:lang w:val="en-CA"/>
              </w:rPr>
              <w:t>Red Hat Enterprise Linux (RHEL) version 7.4</w:t>
            </w:r>
          </w:p>
          <w:p w:rsidR="008C1ED8" w:rsidRDefault="00D201DA" w:rsidP="00D201DA">
            <w:pPr>
              <w:pStyle w:val="ListParagraph"/>
              <w:numPr>
                <w:ilvl w:val="0"/>
                <w:numId w:val="2"/>
              </w:numPr>
              <w:rPr>
                <w:lang w:val="en-CA"/>
              </w:rPr>
            </w:pPr>
            <w:r>
              <w:rPr>
                <w:lang w:val="en-CA"/>
              </w:rPr>
              <w:t>Interesting Facts</w:t>
            </w:r>
          </w:p>
          <w:p w:rsidR="00D201DA" w:rsidRPr="00D201DA" w:rsidRDefault="00D201DA" w:rsidP="00D201DA">
            <w:pPr>
              <w:pStyle w:val="ListParagraph"/>
              <w:numPr>
                <w:ilvl w:val="1"/>
                <w:numId w:val="2"/>
              </w:numPr>
              <w:rPr>
                <w:lang w:val="en-CA"/>
              </w:rPr>
            </w:pPr>
            <w:r w:rsidRPr="00D201DA">
              <w:rPr>
                <w:lang w:val="en-CA"/>
              </w:rPr>
              <w:t>A </w:t>
            </w:r>
            <w:r w:rsidRPr="00D201DA">
              <w:rPr>
                <w:b/>
                <w:bCs/>
                <w:lang w:val="en-CA"/>
              </w:rPr>
              <w:t>200-petaflop</w:t>
            </w:r>
            <w:r w:rsidRPr="00D201DA">
              <w:rPr>
                <w:lang w:val="en-CA"/>
              </w:rPr>
              <w:t> machine, Summit can perform 200 quadrillion (peta-) floating point operations per second (-flops). If every person on Earth completed one calculation per second, it would take the world population </w:t>
            </w:r>
            <w:r w:rsidRPr="00D201DA">
              <w:rPr>
                <w:b/>
                <w:bCs/>
                <w:lang w:val="en-CA"/>
              </w:rPr>
              <w:t>305 days</w:t>
            </w:r>
            <w:r w:rsidRPr="00D201DA">
              <w:rPr>
                <w:lang w:val="en-CA"/>
              </w:rPr>
              <w:t> to do what Summit can do in </w:t>
            </w:r>
            <w:r w:rsidRPr="00D201DA">
              <w:rPr>
                <w:b/>
                <w:bCs/>
                <w:lang w:val="en-CA"/>
              </w:rPr>
              <w:t>1 second</w:t>
            </w:r>
            <w:r w:rsidRPr="00D201DA">
              <w:rPr>
                <w:lang w:val="en-CA"/>
              </w:rPr>
              <w:t>.</w:t>
            </w:r>
          </w:p>
          <w:p w:rsidR="00D201DA" w:rsidRPr="00D201DA" w:rsidRDefault="00D201DA" w:rsidP="00D201DA">
            <w:pPr>
              <w:pStyle w:val="ListParagraph"/>
              <w:numPr>
                <w:ilvl w:val="1"/>
                <w:numId w:val="2"/>
              </w:numPr>
              <w:rPr>
                <w:lang w:val="en-CA"/>
              </w:rPr>
            </w:pPr>
            <w:r w:rsidRPr="00D201DA">
              <w:rPr>
                <w:lang w:val="en-CA"/>
              </w:rPr>
              <w:t>At over 340 tons, Summit’s cabinets, file system, and overhead infrastructure weigh more than a large commercial aircraft.</w:t>
            </w:r>
          </w:p>
          <w:p w:rsidR="00D201DA" w:rsidRPr="00D201DA" w:rsidRDefault="00D201DA" w:rsidP="00D201DA">
            <w:pPr>
              <w:pStyle w:val="ListParagraph"/>
              <w:numPr>
                <w:ilvl w:val="1"/>
                <w:numId w:val="2"/>
              </w:numPr>
              <w:rPr>
                <w:lang w:val="en-CA"/>
              </w:rPr>
            </w:pPr>
            <w:r w:rsidRPr="00D201DA">
              <w:rPr>
                <w:lang w:val="en-CA"/>
              </w:rPr>
              <w:t>More than 4,000 gallons of water pump through Summit's cooling system every minute, carrying away about 13 megawatts of heat.</w:t>
            </w:r>
          </w:p>
          <w:p w:rsidR="00D201DA" w:rsidRPr="00D201DA" w:rsidRDefault="00D201DA" w:rsidP="00D201DA">
            <w:pPr>
              <w:pStyle w:val="ListParagraph"/>
              <w:numPr>
                <w:ilvl w:val="1"/>
                <w:numId w:val="2"/>
              </w:numPr>
              <w:rPr>
                <w:lang w:val="en-CA"/>
              </w:rPr>
            </w:pPr>
            <w:r w:rsidRPr="00D201DA">
              <w:rPr>
                <w:lang w:val="en-CA"/>
              </w:rPr>
              <w:t>Occupying 5,600 sq. ft. of floor space, Summit could fill two tennis courts.</w:t>
            </w:r>
          </w:p>
          <w:p w:rsidR="00D201DA" w:rsidRPr="00D201DA" w:rsidRDefault="00D201DA" w:rsidP="00D201DA">
            <w:pPr>
              <w:pStyle w:val="ListParagraph"/>
              <w:numPr>
                <w:ilvl w:val="1"/>
                <w:numId w:val="2"/>
              </w:numPr>
              <w:rPr>
                <w:lang w:val="en-CA"/>
              </w:rPr>
            </w:pPr>
            <w:r w:rsidRPr="00D201DA">
              <w:rPr>
                <w:lang w:val="en-CA"/>
              </w:rPr>
              <w:t>Summit is connected by 185 miles of fiber optic cables—or the distance from Knoxville to Nashville.</w:t>
            </w:r>
          </w:p>
          <w:p w:rsidR="00D201DA" w:rsidRDefault="00D201DA" w:rsidP="00D201DA">
            <w:pPr>
              <w:pStyle w:val="ListParagraph"/>
              <w:numPr>
                <w:ilvl w:val="1"/>
                <w:numId w:val="2"/>
              </w:numPr>
              <w:rPr>
                <w:lang w:val="en-CA"/>
              </w:rPr>
            </w:pPr>
            <w:r w:rsidRPr="00D201DA">
              <w:rPr>
                <w:lang w:val="en-CA"/>
              </w:rPr>
              <w:t>Summit’s file system can store 250 petabytes of data, or 74 years of high-definition video.</w:t>
            </w:r>
          </w:p>
          <w:p w:rsidR="00D201DA" w:rsidRDefault="00D201DA" w:rsidP="00D201DA">
            <w:pPr>
              <w:pStyle w:val="ListParagraph"/>
              <w:numPr>
                <w:ilvl w:val="1"/>
                <w:numId w:val="2"/>
              </w:numPr>
              <w:rPr>
                <w:lang w:val="en-CA"/>
              </w:rPr>
            </w:pPr>
            <w:r w:rsidRPr="00D201DA">
              <w:rPr>
                <w:lang w:val="en-CA"/>
              </w:rPr>
              <w:t>For some AI applications, researchers can use less precise calculations than flops, potentially quadrupling Summit’s performance to exascale levels, or more than a billion billion calculations per second.</w:t>
            </w:r>
          </w:p>
          <w:p w:rsidR="004D6E54" w:rsidRPr="004D6E54" w:rsidRDefault="004D6E54" w:rsidP="004D6E54">
            <w:pPr>
              <w:pStyle w:val="ListParagraph"/>
              <w:numPr>
                <w:ilvl w:val="1"/>
                <w:numId w:val="2"/>
              </w:numPr>
              <w:rPr>
                <w:lang w:val="en-CA"/>
              </w:rPr>
            </w:pPr>
            <w:r>
              <w:rPr>
                <w:lang w:val="en-CA"/>
              </w:rPr>
              <w:t>200 quadrillion calculations per second</w:t>
            </w:r>
          </w:p>
        </w:tc>
        <w:tc>
          <w:tcPr>
            <w:tcW w:w="2065" w:type="dxa"/>
          </w:tcPr>
          <w:p w:rsidR="003E3675" w:rsidRDefault="008C1ED8" w:rsidP="003E3675">
            <w:hyperlink r:id="rId10" w:history="1">
              <w:r>
                <w:rPr>
                  <w:rStyle w:val="Hyperlink"/>
                </w:rPr>
                <w:t>https://www.olcf.ornl.gov/summit/</w:t>
              </w:r>
            </w:hyperlink>
          </w:p>
          <w:p w:rsidR="00456D38" w:rsidRDefault="00456D38" w:rsidP="003E3675"/>
          <w:p w:rsidR="004D6E54" w:rsidRPr="003E3675" w:rsidRDefault="004D6E54" w:rsidP="003E3675">
            <w:pPr>
              <w:rPr>
                <w:lang w:val="en-CA"/>
              </w:rPr>
            </w:pPr>
            <w:hyperlink r:id="rId11" w:history="1">
              <w:r>
                <w:rPr>
                  <w:rStyle w:val="Hyperlink"/>
                </w:rPr>
                <w:t>https://www.ibm.com/it-infrastructure/power/supercomputing</w:t>
              </w:r>
            </w:hyperlink>
          </w:p>
        </w:tc>
      </w:tr>
      <w:tr w:rsidR="003E3675" w:rsidTr="00250686">
        <w:trPr>
          <w:trHeight w:val="941"/>
        </w:trPr>
        <w:tc>
          <w:tcPr>
            <w:tcW w:w="1444" w:type="dxa"/>
          </w:tcPr>
          <w:p w:rsidR="003E3675" w:rsidRPr="00CA643B" w:rsidRDefault="003E3675" w:rsidP="00CA643B">
            <w:pPr>
              <w:rPr>
                <w:b/>
                <w:i/>
                <w:lang w:val="en-CA"/>
              </w:rPr>
            </w:pPr>
            <w:r w:rsidRPr="00CA643B">
              <w:rPr>
                <w:b/>
                <w:i/>
                <w:lang w:val="en-CA"/>
              </w:rPr>
              <w:lastRenderedPageBreak/>
              <w:t>User Interface</w:t>
            </w:r>
          </w:p>
        </w:tc>
        <w:tc>
          <w:tcPr>
            <w:tcW w:w="5841" w:type="dxa"/>
          </w:tcPr>
          <w:p w:rsidR="003E3675" w:rsidRDefault="004D6E54" w:rsidP="008C1ED8">
            <w:pPr>
              <w:pStyle w:val="ListParagraph"/>
              <w:numPr>
                <w:ilvl w:val="0"/>
                <w:numId w:val="2"/>
              </w:numPr>
              <w:rPr>
                <w:lang w:val="en-CA"/>
              </w:rPr>
            </w:pPr>
            <w:r>
              <w:rPr>
                <w:lang w:val="en-CA"/>
              </w:rPr>
              <w:t>GNOME</w:t>
            </w:r>
          </w:p>
          <w:p w:rsidR="004D6E54" w:rsidRDefault="004D6E54" w:rsidP="004D6E54">
            <w:pPr>
              <w:pStyle w:val="ListParagraph"/>
              <w:numPr>
                <w:ilvl w:val="1"/>
                <w:numId w:val="2"/>
              </w:numPr>
              <w:rPr>
                <w:lang w:val="en-CA"/>
              </w:rPr>
            </w:pPr>
            <w:r w:rsidRPr="004D6E54">
              <w:rPr>
                <w:lang w:val="en-CA"/>
              </w:rPr>
              <w:t>The default desktop environment for Red Hat Enterprise Linux based on the GTK+ 2 graphical toolkits.</w:t>
            </w:r>
          </w:p>
          <w:p w:rsidR="004D6E54" w:rsidRDefault="004D6E54" w:rsidP="004D6E54">
            <w:pPr>
              <w:pStyle w:val="ListParagraph"/>
              <w:numPr>
                <w:ilvl w:val="1"/>
                <w:numId w:val="2"/>
              </w:numPr>
              <w:rPr>
                <w:lang w:val="en-CA"/>
              </w:rPr>
            </w:pPr>
            <w:r>
              <w:rPr>
                <w:lang w:val="en-CA"/>
              </w:rPr>
              <w:t>Supreme access to productivity applications, web browsers, and KDE applications</w:t>
            </w:r>
          </w:p>
          <w:p w:rsidR="004D6E54" w:rsidRDefault="004D6E54" w:rsidP="004D6E54">
            <w:pPr>
              <w:pStyle w:val="ListParagraph"/>
              <w:numPr>
                <w:ilvl w:val="1"/>
                <w:numId w:val="2"/>
              </w:numPr>
              <w:rPr>
                <w:lang w:val="en-CA"/>
              </w:rPr>
            </w:pPr>
            <w:r>
              <w:rPr>
                <w:lang w:val="en-CA"/>
              </w:rPr>
              <w:t>Supported by the Metacity window manager</w:t>
            </w:r>
          </w:p>
          <w:p w:rsidR="00456D38" w:rsidRDefault="00456D38" w:rsidP="004D6E54">
            <w:pPr>
              <w:pStyle w:val="ListParagraph"/>
              <w:numPr>
                <w:ilvl w:val="1"/>
                <w:numId w:val="2"/>
              </w:numPr>
              <w:rPr>
                <w:lang w:val="en-CA"/>
              </w:rPr>
            </w:pPr>
            <w:r>
              <w:rPr>
                <w:lang w:val="en-CA"/>
              </w:rPr>
              <w:t>The Motif Window Manager is a stand alone manager, in order to run, you must have the openmotif package installed</w:t>
            </w:r>
          </w:p>
          <w:p w:rsidR="004D6E54" w:rsidRDefault="004D6E54" w:rsidP="004D6E54">
            <w:pPr>
              <w:pStyle w:val="ListParagraph"/>
              <w:numPr>
                <w:ilvl w:val="0"/>
                <w:numId w:val="2"/>
              </w:numPr>
              <w:rPr>
                <w:lang w:val="en-CA"/>
              </w:rPr>
            </w:pPr>
            <w:r>
              <w:rPr>
                <w:lang w:val="en-CA"/>
              </w:rPr>
              <w:t>KDE</w:t>
            </w:r>
          </w:p>
          <w:p w:rsidR="004D6E54" w:rsidRDefault="004D6E54" w:rsidP="004D6E54">
            <w:pPr>
              <w:pStyle w:val="ListParagraph"/>
              <w:numPr>
                <w:ilvl w:val="1"/>
                <w:numId w:val="2"/>
              </w:numPr>
              <w:rPr>
                <w:lang w:val="en-CA"/>
              </w:rPr>
            </w:pPr>
            <w:r w:rsidRPr="004D6E54">
              <w:rPr>
                <w:lang w:val="en-CA"/>
              </w:rPr>
              <w:t>An alternative desktop environment based on the Qt 3 graphical toolkit.</w:t>
            </w:r>
          </w:p>
          <w:p w:rsidR="004D6E54" w:rsidRDefault="00456D38" w:rsidP="004D6E54">
            <w:pPr>
              <w:pStyle w:val="ListParagraph"/>
              <w:numPr>
                <w:ilvl w:val="1"/>
                <w:numId w:val="2"/>
              </w:numPr>
              <w:rPr>
                <w:lang w:val="en-CA"/>
              </w:rPr>
            </w:pPr>
            <w:r>
              <w:rPr>
                <w:lang w:val="en-CA"/>
              </w:rPr>
              <w:t>KWIN windows manager is the default window manager for KDE</w:t>
            </w:r>
          </w:p>
          <w:p w:rsidR="00456D38" w:rsidRDefault="00456D38" w:rsidP="00456D38">
            <w:pPr>
              <w:pStyle w:val="ListParagraph"/>
              <w:numPr>
                <w:ilvl w:val="1"/>
                <w:numId w:val="2"/>
              </w:numPr>
              <w:rPr>
                <w:lang w:val="en-CA"/>
              </w:rPr>
            </w:pPr>
            <w:r>
              <w:rPr>
                <w:lang w:val="en-CA"/>
              </w:rPr>
              <w:t>The Motif Window Manager is a stand alone manager, in order to run, you must have the openmotif package installed</w:t>
            </w:r>
            <w:r>
              <w:rPr>
                <w:lang w:val="en-CA"/>
              </w:rPr>
              <w:t>, it has the same usage for the KDE environment</w:t>
            </w:r>
          </w:p>
          <w:p w:rsidR="00456D38" w:rsidRDefault="00456D38" w:rsidP="00456D38">
            <w:pPr>
              <w:pStyle w:val="ListParagraph"/>
              <w:numPr>
                <w:ilvl w:val="0"/>
                <w:numId w:val="2"/>
              </w:numPr>
              <w:rPr>
                <w:lang w:val="en-CA"/>
              </w:rPr>
            </w:pPr>
            <w:r>
              <w:rPr>
                <w:lang w:val="en-CA"/>
              </w:rPr>
              <w:t>Rebooting/Shutting Down</w:t>
            </w:r>
          </w:p>
          <w:p w:rsidR="00456D38" w:rsidRDefault="00456D38" w:rsidP="00456D38">
            <w:pPr>
              <w:pStyle w:val="ListParagraph"/>
              <w:numPr>
                <w:ilvl w:val="1"/>
                <w:numId w:val="2"/>
              </w:numPr>
              <w:rPr>
                <w:lang w:val="en-CA"/>
              </w:rPr>
            </w:pPr>
            <w:r>
              <w:rPr>
                <w:lang w:val="en-CA"/>
              </w:rPr>
              <w:t>The shutdown systems in the RedHat Linux machines creates a sense of recording in the shutdown log and communicates to users to the reasons why</w:t>
            </w:r>
          </w:p>
          <w:p w:rsidR="00456D38" w:rsidRPr="00456D38" w:rsidRDefault="00456D38" w:rsidP="00456D38">
            <w:pPr>
              <w:pStyle w:val="ListParagraph"/>
              <w:numPr>
                <w:ilvl w:val="1"/>
                <w:numId w:val="2"/>
              </w:numPr>
              <w:rPr>
                <w:lang w:val="en-CA"/>
              </w:rPr>
            </w:pPr>
            <w:r>
              <w:rPr>
                <w:lang w:val="en-CA"/>
              </w:rPr>
              <w:lastRenderedPageBreak/>
              <w:t xml:space="preserve">The reboot option shows your intent to other users and </w:t>
            </w:r>
            <w:r w:rsidR="00E40FCD">
              <w:rPr>
                <w:lang w:val="en-CA"/>
              </w:rPr>
              <w:t>gives more control and is more efficient for the admin</w:t>
            </w:r>
          </w:p>
        </w:tc>
        <w:tc>
          <w:tcPr>
            <w:tcW w:w="2065" w:type="dxa"/>
          </w:tcPr>
          <w:p w:rsidR="003E3675" w:rsidRDefault="004D6E54" w:rsidP="003E3675">
            <w:hyperlink r:id="rId12" w:history="1">
              <w:r>
                <w:rPr>
                  <w:rStyle w:val="Hyperlink"/>
                </w:rPr>
                <w:t>https://access.redhat.com/documentation/en-us/red_hat_enterprise_linux/5/html/deployment_guide/s1-x-clients</w:t>
              </w:r>
            </w:hyperlink>
          </w:p>
          <w:p w:rsidR="00456D38" w:rsidRDefault="00456D38" w:rsidP="003E3675"/>
          <w:p w:rsidR="00456D38" w:rsidRDefault="00456D38" w:rsidP="00456D38">
            <w:r>
              <w:t>https://serverfault.com/</w:t>
            </w:r>
          </w:p>
          <w:p w:rsidR="00456D38" w:rsidRDefault="00456D38" w:rsidP="00456D38">
            <w:r>
              <w:t>questions/787144/</w:t>
            </w:r>
          </w:p>
          <w:p w:rsidR="00456D38" w:rsidRPr="003E3675" w:rsidRDefault="00456D38" w:rsidP="00456D38">
            <w:pPr>
              <w:rPr>
                <w:lang w:val="en-CA"/>
              </w:rPr>
            </w:pPr>
            <w:r>
              <w:t>reboot-or-shutdown-r-now-what-restart-command-is-safer</w:t>
            </w:r>
          </w:p>
        </w:tc>
      </w:tr>
      <w:tr w:rsidR="003E3675" w:rsidTr="00250686">
        <w:trPr>
          <w:trHeight w:val="1996"/>
        </w:trPr>
        <w:tc>
          <w:tcPr>
            <w:tcW w:w="1444" w:type="dxa"/>
          </w:tcPr>
          <w:p w:rsidR="003E3675" w:rsidRPr="00CA643B" w:rsidRDefault="003E3675" w:rsidP="00CA643B">
            <w:pPr>
              <w:rPr>
                <w:b/>
                <w:i/>
                <w:lang w:val="en-CA"/>
              </w:rPr>
            </w:pPr>
            <w:r w:rsidRPr="00CA643B">
              <w:rPr>
                <w:b/>
                <w:i/>
                <w:lang w:val="en-CA"/>
              </w:rPr>
              <w:lastRenderedPageBreak/>
              <w:t>Device Management</w:t>
            </w:r>
          </w:p>
        </w:tc>
        <w:tc>
          <w:tcPr>
            <w:tcW w:w="5841" w:type="dxa"/>
          </w:tcPr>
          <w:p w:rsidR="003E3675" w:rsidRDefault="0015540A" w:rsidP="008C1ED8">
            <w:pPr>
              <w:pStyle w:val="ListParagraph"/>
              <w:numPr>
                <w:ilvl w:val="0"/>
                <w:numId w:val="2"/>
              </w:numPr>
              <w:rPr>
                <w:lang w:val="en-CA"/>
              </w:rPr>
            </w:pPr>
            <w:r>
              <w:rPr>
                <w:lang w:val="en-CA"/>
              </w:rPr>
              <w:t>Kernel</w:t>
            </w:r>
          </w:p>
          <w:p w:rsidR="0015540A" w:rsidRDefault="0015540A" w:rsidP="0015540A">
            <w:pPr>
              <w:pStyle w:val="ListParagraph"/>
              <w:numPr>
                <w:ilvl w:val="1"/>
                <w:numId w:val="2"/>
              </w:numPr>
              <w:rPr>
                <w:lang w:val="en-CA"/>
              </w:rPr>
            </w:pPr>
            <w:r w:rsidRPr="0015540A">
              <w:rPr>
                <w:lang w:val="en-CA"/>
              </w:rPr>
              <w:t>Live patching for the kernel, kpatch, is now available, which enables you to consume Critical and Important CVEs fixes without the n</w:t>
            </w:r>
            <w:r>
              <w:rPr>
                <w:lang w:val="en-CA"/>
              </w:rPr>
              <w:t>eed to reboot your system</w:t>
            </w:r>
          </w:p>
          <w:p w:rsidR="0015540A" w:rsidRDefault="0015540A" w:rsidP="0015540A">
            <w:pPr>
              <w:pStyle w:val="ListParagraph"/>
              <w:numPr>
                <w:ilvl w:val="1"/>
                <w:numId w:val="2"/>
              </w:numPr>
              <w:rPr>
                <w:lang w:val="en-CA"/>
              </w:rPr>
            </w:pPr>
            <w:r w:rsidRPr="0015540A">
              <w:rPr>
                <w:lang w:val="en-CA"/>
              </w:rPr>
              <w:t>The IMA/EVM feature for verifying file system integrity is now supported on all architectures</w:t>
            </w:r>
          </w:p>
          <w:p w:rsidR="0015540A" w:rsidRDefault="0015540A" w:rsidP="0015540A">
            <w:pPr>
              <w:pStyle w:val="ListParagraph"/>
              <w:numPr>
                <w:ilvl w:val="0"/>
                <w:numId w:val="2"/>
              </w:numPr>
              <w:rPr>
                <w:lang w:val="en-CA"/>
              </w:rPr>
            </w:pPr>
            <w:r>
              <w:rPr>
                <w:lang w:val="en-CA"/>
              </w:rPr>
              <w:t>Image Builder</w:t>
            </w:r>
          </w:p>
          <w:p w:rsidR="0015540A" w:rsidRDefault="00714DA5" w:rsidP="00714DA5">
            <w:pPr>
              <w:pStyle w:val="ListParagraph"/>
              <w:numPr>
                <w:ilvl w:val="1"/>
                <w:numId w:val="2"/>
              </w:numPr>
              <w:rPr>
                <w:lang w:val="en-CA"/>
              </w:rPr>
            </w:pPr>
            <w:r w:rsidRPr="00714DA5">
              <w:rPr>
                <w:lang w:val="en-CA"/>
              </w:rPr>
              <w:t>The Image Builder is now fully supported. Cloud images can be built for Amazon Web Services, VMware vSphere, and OpenStack</w:t>
            </w:r>
          </w:p>
          <w:p w:rsidR="00714DA5" w:rsidRPr="00CA643B" w:rsidRDefault="00714DA5" w:rsidP="00714DA5">
            <w:pPr>
              <w:pStyle w:val="ListParagraph"/>
              <w:numPr>
                <w:ilvl w:val="0"/>
                <w:numId w:val="2"/>
              </w:numPr>
              <w:rPr>
                <w:lang w:val="en-CA"/>
              </w:rPr>
            </w:pPr>
            <w:bookmarkStart w:id="0" w:name="_GoBack"/>
            <w:bookmarkEnd w:id="0"/>
          </w:p>
        </w:tc>
        <w:tc>
          <w:tcPr>
            <w:tcW w:w="2065" w:type="dxa"/>
          </w:tcPr>
          <w:p w:rsidR="0015540A" w:rsidRDefault="0015540A" w:rsidP="0015540A">
            <w:r>
              <w:t>https://access.redhat.com/</w:t>
            </w:r>
          </w:p>
          <w:p w:rsidR="0015540A" w:rsidRDefault="0015540A" w:rsidP="0015540A">
            <w:r>
              <w:t>documentation/en-us/</w:t>
            </w:r>
          </w:p>
          <w:p w:rsidR="0015540A" w:rsidRDefault="0015540A" w:rsidP="0015540A">
            <w:r>
              <w:t>red_hat_enterprise_linux/</w:t>
            </w:r>
          </w:p>
          <w:p w:rsidR="003E3675" w:rsidRPr="003E3675" w:rsidRDefault="0015540A" w:rsidP="0015540A">
            <w:pPr>
              <w:rPr>
                <w:lang w:val="en-CA"/>
              </w:rPr>
            </w:pPr>
            <w:r>
              <w:t>7/html/</w:t>
            </w:r>
          </w:p>
        </w:tc>
      </w:tr>
      <w:tr w:rsidR="003E3675" w:rsidTr="00250686">
        <w:trPr>
          <w:trHeight w:val="941"/>
        </w:trPr>
        <w:tc>
          <w:tcPr>
            <w:tcW w:w="1444" w:type="dxa"/>
          </w:tcPr>
          <w:p w:rsidR="003E3675" w:rsidRPr="00CA643B" w:rsidRDefault="003E3675" w:rsidP="00CA643B">
            <w:pPr>
              <w:rPr>
                <w:b/>
                <w:i/>
                <w:lang w:val="en-CA"/>
              </w:rPr>
            </w:pPr>
            <w:r w:rsidRPr="00CA643B">
              <w:rPr>
                <w:b/>
                <w:i/>
                <w:lang w:val="en-CA"/>
              </w:rPr>
              <w:t>Security</w:t>
            </w:r>
          </w:p>
        </w:tc>
        <w:tc>
          <w:tcPr>
            <w:tcW w:w="5841" w:type="dxa"/>
          </w:tcPr>
          <w:p w:rsidR="003E3675" w:rsidRPr="00CA643B" w:rsidRDefault="003E3675" w:rsidP="008C1ED8">
            <w:pPr>
              <w:pStyle w:val="ListParagraph"/>
              <w:numPr>
                <w:ilvl w:val="0"/>
                <w:numId w:val="2"/>
              </w:numPr>
              <w:rPr>
                <w:lang w:val="en-CA"/>
              </w:rPr>
            </w:pPr>
          </w:p>
        </w:tc>
        <w:tc>
          <w:tcPr>
            <w:tcW w:w="2065" w:type="dxa"/>
          </w:tcPr>
          <w:p w:rsidR="003E3675" w:rsidRPr="003E3675" w:rsidRDefault="003E3675" w:rsidP="003E3675">
            <w:pPr>
              <w:rPr>
                <w:lang w:val="en-CA"/>
              </w:rPr>
            </w:pPr>
          </w:p>
        </w:tc>
      </w:tr>
      <w:tr w:rsidR="003E3675" w:rsidTr="00250686">
        <w:trPr>
          <w:trHeight w:val="1941"/>
        </w:trPr>
        <w:tc>
          <w:tcPr>
            <w:tcW w:w="1444" w:type="dxa"/>
          </w:tcPr>
          <w:p w:rsidR="003E3675" w:rsidRPr="00CA643B" w:rsidRDefault="003E3675" w:rsidP="00CA643B">
            <w:pPr>
              <w:rPr>
                <w:b/>
                <w:i/>
                <w:lang w:val="en-CA"/>
              </w:rPr>
            </w:pPr>
            <w:r w:rsidRPr="00CA643B">
              <w:rPr>
                <w:b/>
                <w:i/>
                <w:lang w:val="en-CA"/>
              </w:rPr>
              <w:t>Network Connectivity</w:t>
            </w:r>
          </w:p>
        </w:tc>
        <w:tc>
          <w:tcPr>
            <w:tcW w:w="5841" w:type="dxa"/>
          </w:tcPr>
          <w:p w:rsidR="003E3675" w:rsidRPr="00CA643B" w:rsidRDefault="003E3675" w:rsidP="008C1ED8">
            <w:pPr>
              <w:pStyle w:val="ListParagraph"/>
              <w:numPr>
                <w:ilvl w:val="0"/>
                <w:numId w:val="2"/>
              </w:numPr>
              <w:rPr>
                <w:lang w:val="en-CA"/>
              </w:rPr>
            </w:pPr>
          </w:p>
        </w:tc>
        <w:tc>
          <w:tcPr>
            <w:tcW w:w="2065" w:type="dxa"/>
          </w:tcPr>
          <w:p w:rsidR="003E3675" w:rsidRPr="003E3675" w:rsidRDefault="003E3675" w:rsidP="003E3675">
            <w:pPr>
              <w:rPr>
                <w:lang w:val="en-CA"/>
              </w:rPr>
            </w:pPr>
          </w:p>
        </w:tc>
      </w:tr>
    </w:tbl>
    <w:p w:rsidR="00CA643B" w:rsidRPr="00CA643B" w:rsidRDefault="00CA643B" w:rsidP="00CA643B">
      <w:pPr>
        <w:rPr>
          <w:lang w:val="en-CA"/>
        </w:rPr>
      </w:pPr>
    </w:p>
    <w:sectPr w:rsidR="00CA643B" w:rsidRPr="00CA64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43B" w:rsidRDefault="00CA643B" w:rsidP="00CA643B">
      <w:pPr>
        <w:spacing w:after="0" w:line="240" w:lineRule="auto"/>
      </w:pPr>
      <w:r>
        <w:separator/>
      </w:r>
    </w:p>
  </w:endnote>
  <w:endnote w:type="continuationSeparator" w:id="0">
    <w:p w:rsidR="00CA643B" w:rsidRDefault="00CA643B" w:rsidP="00CA6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43B" w:rsidRDefault="00CA643B" w:rsidP="00CA643B">
      <w:pPr>
        <w:spacing w:after="0" w:line="240" w:lineRule="auto"/>
      </w:pPr>
      <w:r>
        <w:separator/>
      </w:r>
    </w:p>
  </w:footnote>
  <w:footnote w:type="continuationSeparator" w:id="0">
    <w:p w:rsidR="00CA643B" w:rsidRDefault="00CA643B" w:rsidP="00CA64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7154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6B6A1E89"/>
    <w:multiLevelType w:val="hybridMultilevel"/>
    <w:tmpl w:val="57A60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43B"/>
    <w:rsid w:val="00017AA8"/>
    <w:rsid w:val="0015540A"/>
    <w:rsid w:val="00250686"/>
    <w:rsid w:val="003E3675"/>
    <w:rsid w:val="00456D38"/>
    <w:rsid w:val="004D6E54"/>
    <w:rsid w:val="006527F5"/>
    <w:rsid w:val="00714DA5"/>
    <w:rsid w:val="008931CF"/>
    <w:rsid w:val="008944D3"/>
    <w:rsid w:val="008C1ED8"/>
    <w:rsid w:val="008F1C00"/>
    <w:rsid w:val="00CA643B"/>
    <w:rsid w:val="00D201DA"/>
    <w:rsid w:val="00E40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6A48"/>
  <w15:chartTrackingRefBased/>
  <w15:docId w15:val="{DEF1D3B3-E359-4C93-ACC0-BB036B9E3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43B"/>
  </w:style>
  <w:style w:type="paragraph" w:styleId="Heading1">
    <w:name w:val="heading 1"/>
    <w:basedOn w:val="Normal"/>
    <w:next w:val="Normal"/>
    <w:link w:val="Heading1Char"/>
    <w:uiPriority w:val="9"/>
    <w:qFormat/>
    <w:rsid w:val="00CA643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CA643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A643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A643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A643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A643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A643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A643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A643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643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A643B"/>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CA643B"/>
    <w:rPr>
      <w:rFonts w:asciiTheme="majorHAnsi" w:eastAsiaTheme="majorEastAsia" w:hAnsiTheme="majorHAnsi" w:cstheme="majorBidi"/>
      <w:color w:val="2E74B5" w:themeColor="accent1" w:themeShade="BF"/>
      <w:sz w:val="40"/>
      <w:szCs w:val="40"/>
    </w:rPr>
  </w:style>
  <w:style w:type="table" w:styleId="TableGrid">
    <w:name w:val="Table Grid"/>
    <w:basedOn w:val="TableNormal"/>
    <w:uiPriority w:val="39"/>
    <w:rsid w:val="00CA6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A643B"/>
    <w:rPr>
      <w:rFonts w:asciiTheme="majorHAnsi" w:eastAsiaTheme="majorEastAsia" w:hAnsiTheme="majorHAnsi" w:cstheme="majorBidi"/>
      <w:sz w:val="32"/>
      <w:szCs w:val="32"/>
    </w:rPr>
  </w:style>
  <w:style w:type="paragraph" w:styleId="EndnoteText">
    <w:name w:val="endnote text"/>
    <w:basedOn w:val="Normal"/>
    <w:link w:val="EndnoteTextChar"/>
    <w:uiPriority w:val="99"/>
    <w:semiHidden/>
    <w:unhideWhenUsed/>
    <w:rsid w:val="00CA64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A643B"/>
    <w:rPr>
      <w:sz w:val="20"/>
      <w:szCs w:val="20"/>
    </w:rPr>
  </w:style>
  <w:style w:type="character" w:styleId="EndnoteReference">
    <w:name w:val="endnote reference"/>
    <w:basedOn w:val="DefaultParagraphFont"/>
    <w:uiPriority w:val="99"/>
    <w:semiHidden/>
    <w:unhideWhenUsed/>
    <w:rsid w:val="00CA643B"/>
    <w:rPr>
      <w:vertAlign w:val="superscript"/>
    </w:rPr>
  </w:style>
  <w:style w:type="character" w:styleId="Strong">
    <w:name w:val="Strong"/>
    <w:basedOn w:val="DefaultParagraphFont"/>
    <w:uiPriority w:val="22"/>
    <w:qFormat/>
    <w:rsid w:val="00CA643B"/>
    <w:rPr>
      <w:b/>
      <w:bCs/>
    </w:rPr>
  </w:style>
  <w:style w:type="character" w:customStyle="1" w:styleId="Heading3Char">
    <w:name w:val="Heading 3 Char"/>
    <w:basedOn w:val="DefaultParagraphFont"/>
    <w:link w:val="Heading3"/>
    <w:uiPriority w:val="9"/>
    <w:semiHidden/>
    <w:rsid w:val="00CA643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A643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A643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A643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A643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A643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A643B"/>
    <w:rPr>
      <w:b/>
      <w:bCs/>
      <w:i/>
      <w:iCs/>
    </w:rPr>
  </w:style>
  <w:style w:type="paragraph" w:styleId="Caption">
    <w:name w:val="caption"/>
    <w:basedOn w:val="Normal"/>
    <w:next w:val="Normal"/>
    <w:uiPriority w:val="35"/>
    <w:semiHidden/>
    <w:unhideWhenUsed/>
    <w:qFormat/>
    <w:rsid w:val="00CA643B"/>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A643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A643B"/>
    <w:rPr>
      <w:color w:val="44546A" w:themeColor="text2"/>
      <w:sz w:val="28"/>
      <w:szCs w:val="28"/>
    </w:rPr>
  </w:style>
  <w:style w:type="character" w:styleId="Emphasis">
    <w:name w:val="Emphasis"/>
    <w:basedOn w:val="DefaultParagraphFont"/>
    <w:uiPriority w:val="20"/>
    <w:qFormat/>
    <w:rsid w:val="00CA643B"/>
    <w:rPr>
      <w:i/>
      <w:iCs/>
      <w:color w:val="000000" w:themeColor="text1"/>
    </w:rPr>
  </w:style>
  <w:style w:type="paragraph" w:styleId="NoSpacing">
    <w:name w:val="No Spacing"/>
    <w:uiPriority w:val="1"/>
    <w:qFormat/>
    <w:rsid w:val="00CA643B"/>
    <w:pPr>
      <w:spacing w:after="0" w:line="240" w:lineRule="auto"/>
    </w:pPr>
  </w:style>
  <w:style w:type="paragraph" w:styleId="Quote">
    <w:name w:val="Quote"/>
    <w:basedOn w:val="Normal"/>
    <w:next w:val="Normal"/>
    <w:link w:val="QuoteChar"/>
    <w:uiPriority w:val="29"/>
    <w:qFormat/>
    <w:rsid w:val="00CA643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A643B"/>
    <w:rPr>
      <w:i/>
      <w:iCs/>
      <w:color w:val="7B7B7B" w:themeColor="accent3" w:themeShade="BF"/>
      <w:sz w:val="24"/>
      <w:szCs w:val="24"/>
    </w:rPr>
  </w:style>
  <w:style w:type="paragraph" w:styleId="IntenseQuote">
    <w:name w:val="Intense Quote"/>
    <w:basedOn w:val="Normal"/>
    <w:next w:val="Normal"/>
    <w:link w:val="IntenseQuoteChar"/>
    <w:uiPriority w:val="30"/>
    <w:qFormat/>
    <w:rsid w:val="00CA643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CA643B"/>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CA643B"/>
    <w:rPr>
      <w:i/>
      <w:iCs/>
      <w:color w:val="595959" w:themeColor="text1" w:themeTint="A6"/>
    </w:rPr>
  </w:style>
  <w:style w:type="character" w:styleId="IntenseEmphasis">
    <w:name w:val="Intense Emphasis"/>
    <w:basedOn w:val="DefaultParagraphFont"/>
    <w:uiPriority w:val="21"/>
    <w:qFormat/>
    <w:rsid w:val="00CA643B"/>
    <w:rPr>
      <w:b/>
      <w:bCs/>
      <w:i/>
      <w:iCs/>
      <w:color w:val="auto"/>
    </w:rPr>
  </w:style>
  <w:style w:type="character" w:styleId="SubtleReference">
    <w:name w:val="Subtle Reference"/>
    <w:basedOn w:val="DefaultParagraphFont"/>
    <w:uiPriority w:val="31"/>
    <w:qFormat/>
    <w:rsid w:val="00CA643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A643B"/>
    <w:rPr>
      <w:b/>
      <w:bCs/>
      <w:caps w:val="0"/>
      <w:smallCaps/>
      <w:color w:val="auto"/>
      <w:spacing w:val="0"/>
      <w:u w:val="single"/>
    </w:rPr>
  </w:style>
  <w:style w:type="character" w:styleId="BookTitle">
    <w:name w:val="Book Title"/>
    <w:basedOn w:val="DefaultParagraphFont"/>
    <w:uiPriority w:val="33"/>
    <w:qFormat/>
    <w:rsid w:val="00CA643B"/>
    <w:rPr>
      <w:b/>
      <w:bCs/>
      <w:caps w:val="0"/>
      <w:smallCaps/>
      <w:spacing w:val="0"/>
    </w:rPr>
  </w:style>
  <w:style w:type="paragraph" w:styleId="TOCHeading">
    <w:name w:val="TOC Heading"/>
    <w:basedOn w:val="Heading1"/>
    <w:next w:val="Normal"/>
    <w:uiPriority w:val="39"/>
    <w:semiHidden/>
    <w:unhideWhenUsed/>
    <w:qFormat/>
    <w:rsid w:val="00CA643B"/>
    <w:pPr>
      <w:outlineLvl w:val="9"/>
    </w:pPr>
  </w:style>
  <w:style w:type="paragraph" w:styleId="ListParagraph">
    <w:name w:val="List Paragraph"/>
    <w:basedOn w:val="Normal"/>
    <w:uiPriority w:val="34"/>
    <w:qFormat/>
    <w:rsid w:val="00CA643B"/>
    <w:pPr>
      <w:ind w:left="720"/>
      <w:contextualSpacing/>
    </w:pPr>
  </w:style>
  <w:style w:type="character" w:styleId="Hyperlink">
    <w:name w:val="Hyperlink"/>
    <w:basedOn w:val="DefaultParagraphFont"/>
    <w:uiPriority w:val="99"/>
    <w:semiHidden/>
    <w:unhideWhenUsed/>
    <w:rsid w:val="003E36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308115">
      <w:bodyDiv w:val="1"/>
      <w:marLeft w:val="0"/>
      <w:marRight w:val="0"/>
      <w:marTop w:val="0"/>
      <w:marBottom w:val="0"/>
      <w:divBdr>
        <w:top w:val="none" w:sz="0" w:space="0" w:color="auto"/>
        <w:left w:val="none" w:sz="0" w:space="0" w:color="auto"/>
        <w:bottom w:val="none" w:sz="0" w:space="0" w:color="auto"/>
        <w:right w:val="none" w:sz="0" w:space="0" w:color="auto"/>
      </w:divBdr>
    </w:div>
    <w:div w:id="1025716641">
      <w:bodyDiv w:val="1"/>
      <w:marLeft w:val="0"/>
      <w:marRight w:val="0"/>
      <w:marTop w:val="0"/>
      <w:marBottom w:val="0"/>
      <w:divBdr>
        <w:top w:val="none" w:sz="0" w:space="0" w:color="auto"/>
        <w:left w:val="none" w:sz="0" w:space="0" w:color="auto"/>
        <w:bottom w:val="none" w:sz="0" w:space="0" w:color="auto"/>
        <w:right w:val="none" w:sz="0" w:space="0" w:color="auto"/>
      </w:divBdr>
    </w:div>
    <w:div w:id="2107576585">
      <w:bodyDiv w:val="1"/>
      <w:marLeft w:val="0"/>
      <w:marRight w:val="0"/>
      <w:marTop w:val="0"/>
      <w:marBottom w:val="0"/>
      <w:divBdr>
        <w:top w:val="none" w:sz="0" w:space="0" w:color="auto"/>
        <w:left w:val="none" w:sz="0" w:space="0" w:color="auto"/>
        <w:bottom w:val="none" w:sz="0" w:space="0" w:color="auto"/>
        <w:right w:val="none" w:sz="0" w:space="0" w:color="auto"/>
      </w:divBdr>
      <w:divsChild>
        <w:div w:id="1534344307">
          <w:marLeft w:val="225"/>
          <w:marRight w:val="225"/>
          <w:marTop w:val="0"/>
          <w:marBottom w:val="0"/>
          <w:divBdr>
            <w:top w:val="none" w:sz="0" w:space="0" w:color="auto"/>
            <w:left w:val="none" w:sz="0" w:space="0" w:color="auto"/>
            <w:bottom w:val="none" w:sz="0" w:space="0" w:color="auto"/>
            <w:right w:val="none" w:sz="0" w:space="0" w:color="auto"/>
          </w:divBdr>
          <w:divsChild>
            <w:div w:id="563610295">
              <w:marLeft w:val="0"/>
              <w:marRight w:val="0"/>
              <w:marTop w:val="0"/>
              <w:marBottom w:val="0"/>
              <w:divBdr>
                <w:top w:val="none" w:sz="0" w:space="0" w:color="auto"/>
                <w:left w:val="none" w:sz="0" w:space="0" w:color="auto"/>
                <w:bottom w:val="none" w:sz="0" w:space="0" w:color="auto"/>
                <w:right w:val="none" w:sz="0" w:space="0" w:color="auto"/>
              </w:divBdr>
            </w:div>
            <w:div w:id="708722368">
              <w:marLeft w:val="0"/>
              <w:marRight w:val="0"/>
              <w:marTop w:val="0"/>
              <w:marBottom w:val="0"/>
              <w:divBdr>
                <w:top w:val="none" w:sz="0" w:space="0" w:color="auto"/>
                <w:left w:val="none" w:sz="0" w:space="0" w:color="auto"/>
                <w:bottom w:val="none" w:sz="0" w:space="0" w:color="auto"/>
                <w:right w:val="none" w:sz="0" w:space="0" w:color="auto"/>
              </w:divBdr>
            </w:div>
          </w:divsChild>
        </w:div>
        <w:div w:id="886527244">
          <w:marLeft w:val="225"/>
          <w:marRight w:val="225"/>
          <w:marTop w:val="0"/>
          <w:marBottom w:val="0"/>
          <w:divBdr>
            <w:top w:val="none" w:sz="0" w:space="0" w:color="auto"/>
            <w:left w:val="none" w:sz="0" w:space="0" w:color="auto"/>
            <w:bottom w:val="none" w:sz="0" w:space="0" w:color="auto"/>
            <w:right w:val="none" w:sz="0" w:space="0" w:color="auto"/>
          </w:divBdr>
          <w:divsChild>
            <w:div w:id="316034866">
              <w:marLeft w:val="0"/>
              <w:marRight w:val="0"/>
              <w:marTop w:val="0"/>
              <w:marBottom w:val="0"/>
              <w:divBdr>
                <w:top w:val="none" w:sz="0" w:space="0" w:color="auto"/>
                <w:left w:val="none" w:sz="0" w:space="0" w:color="auto"/>
                <w:bottom w:val="none" w:sz="0" w:space="0" w:color="auto"/>
                <w:right w:val="none" w:sz="0" w:space="0" w:color="auto"/>
              </w:divBdr>
            </w:div>
            <w:div w:id="1674259994">
              <w:marLeft w:val="0"/>
              <w:marRight w:val="0"/>
              <w:marTop w:val="0"/>
              <w:marBottom w:val="0"/>
              <w:divBdr>
                <w:top w:val="none" w:sz="0" w:space="0" w:color="auto"/>
                <w:left w:val="none" w:sz="0" w:space="0" w:color="auto"/>
                <w:bottom w:val="none" w:sz="0" w:space="0" w:color="auto"/>
                <w:right w:val="none" w:sz="0" w:space="0" w:color="auto"/>
              </w:divBdr>
            </w:div>
          </w:divsChild>
        </w:div>
        <w:div w:id="698313659">
          <w:marLeft w:val="225"/>
          <w:marRight w:val="225"/>
          <w:marTop w:val="0"/>
          <w:marBottom w:val="0"/>
          <w:divBdr>
            <w:top w:val="none" w:sz="0" w:space="0" w:color="auto"/>
            <w:left w:val="none" w:sz="0" w:space="0" w:color="auto"/>
            <w:bottom w:val="none" w:sz="0" w:space="0" w:color="auto"/>
            <w:right w:val="none" w:sz="0" w:space="0" w:color="auto"/>
          </w:divBdr>
          <w:divsChild>
            <w:div w:id="1514103827">
              <w:marLeft w:val="0"/>
              <w:marRight w:val="0"/>
              <w:marTop w:val="0"/>
              <w:marBottom w:val="0"/>
              <w:divBdr>
                <w:top w:val="none" w:sz="0" w:space="0" w:color="auto"/>
                <w:left w:val="none" w:sz="0" w:space="0" w:color="auto"/>
                <w:bottom w:val="none" w:sz="0" w:space="0" w:color="auto"/>
                <w:right w:val="none" w:sz="0" w:space="0" w:color="auto"/>
              </w:divBdr>
            </w:div>
            <w:div w:id="1289161716">
              <w:marLeft w:val="0"/>
              <w:marRight w:val="0"/>
              <w:marTop w:val="0"/>
              <w:marBottom w:val="0"/>
              <w:divBdr>
                <w:top w:val="none" w:sz="0" w:space="0" w:color="auto"/>
                <w:left w:val="none" w:sz="0" w:space="0" w:color="auto"/>
                <w:bottom w:val="none" w:sz="0" w:space="0" w:color="auto"/>
                <w:right w:val="none" w:sz="0" w:space="0" w:color="auto"/>
              </w:divBdr>
            </w:div>
          </w:divsChild>
        </w:div>
        <w:div w:id="297879210">
          <w:marLeft w:val="225"/>
          <w:marRight w:val="225"/>
          <w:marTop w:val="0"/>
          <w:marBottom w:val="0"/>
          <w:divBdr>
            <w:top w:val="none" w:sz="0" w:space="0" w:color="auto"/>
            <w:left w:val="none" w:sz="0" w:space="0" w:color="auto"/>
            <w:bottom w:val="none" w:sz="0" w:space="0" w:color="auto"/>
            <w:right w:val="none" w:sz="0" w:space="0" w:color="auto"/>
          </w:divBdr>
          <w:divsChild>
            <w:div w:id="54092061">
              <w:marLeft w:val="0"/>
              <w:marRight w:val="0"/>
              <w:marTop w:val="0"/>
              <w:marBottom w:val="0"/>
              <w:divBdr>
                <w:top w:val="none" w:sz="0" w:space="0" w:color="auto"/>
                <w:left w:val="none" w:sz="0" w:space="0" w:color="auto"/>
                <w:bottom w:val="none" w:sz="0" w:space="0" w:color="auto"/>
                <w:right w:val="none" w:sz="0" w:space="0" w:color="auto"/>
              </w:divBdr>
            </w:div>
            <w:div w:id="1138188332">
              <w:marLeft w:val="0"/>
              <w:marRight w:val="0"/>
              <w:marTop w:val="0"/>
              <w:marBottom w:val="0"/>
              <w:divBdr>
                <w:top w:val="none" w:sz="0" w:space="0" w:color="auto"/>
                <w:left w:val="none" w:sz="0" w:space="0" w:color="auto"/>
                <w:bottom w:val="none" w:sz="0" w:space="0" w:color="auto"/>
                <w:right w:val="none" w:sz="0" w:space="0" w:color="auto"/>
              </w:divBdr>
            </w:div>
          </w:divsChild>
        </w:div>
        <w:div w:id="202207172">
          <w:marLeft w:val="225"/>
          <w:marRight w:val="225"/>
          <w:marTop w:val="0"/>
          <w:marBottom w:val="0"/>
          <w:divBdr>
            <w:top w:val="none" w:sz="0" w:space="0" w:color="auto"/>
            <w:left w:val="none" w:sz="0" w:space="0" w:color="auto"/>
            <w:bottom w:val="none" w:sz="0" w:space="0" w:color="auto"/>
            <w:right w:val="none" w:sz="0" w:space="0" w:color="auto"/>
          </w:divBdr>
          <w:divsChild>
            <w:div w:id="2134707153">
              <w:marLeft w:val="0"/>
              <w:marRight w:val="0"/>
              <w:marTop w:val="0"/>
              <w:marBottom w:val="0"/>
              <w:divBdr>
                <w:top w:val="none" w:sz="0" w:space="0" w:color="auto"/>
                <w:left w:val="none" w:sz="0" w:space="0" w:color="auto"/>
                <w:bottom w:val="none" w:sz="0" w:space="0" w:color="auto"/>
                <w:right w:val="none" w:sz="0" w:space="0" w:color="auto"/>
              </w:divBdr>
            </w:div>
            <w:div w:id="1844125241">
              <w:marLeft w:val="0"/>
              <w:marRight w:val="0"/>
              <w:marTop w:val="0"/>
              <w:marBottom w:val="0"/>
              <w:divBdr>
                <w:top w:val="none" w:sz="0" w:space="0" w:color="auto"/>
                <w:left w:val="none" w:sz="0" w:space="0" w:color="auto"/>
                <w:bottom w:val="none" w:sz="0" w:space="0" w:color="auto"/>
                <w:right w:val="none" w:sz="0" w:space="0" w:color="auto"/>
              </w:divBdr>
            </w:div>
          </w:divsChild>
        </w:div>
        <w:div w:id="633366154">
          <w:marLeft w:val="225"/>
          <w:marRight w:val="225"/>
          <w:marTop w:val="0"/>
          <w:marBottom w:val="0"/>
          <w:divBdr>
            <w:top w:val="none" w:sz="0" w:space="0" w:color="auto"/>
            <w:left w:val="none" w:sz="0" w:space="0" w:color="auto"/>
            <w:bottom w:val="none" w:sz="0" w:space="0" w:color="auto"/>
            <w:right w:val="none" w:sz="0" w:space="0" w:color="auto"/>
          </w:divBdr>
          <w:divsChild>
            <w:div w:id="1227642010">
              <w:marLeft w:val="0"/>
              <w:marRight w:val="0"/>
              <w:marTop w:val="0"/>
              <w:marBottom w:val="0"/>
              <w:divBdr>
                <w:top w:val="none" w:sz="0" w:space="0" w:color="auto"/>
                <w:left w:val="none" w:sz="0" w:space="0" w:color="auto"/>
                <w:bottom w:val="none" w:sz="0" w:space="0" w:color="auto"/>
                <w:right w:val="none" w:sz="0" w:space="0" w:color="auto"/>
              </w:divBdr>
            </w:div>
            <w:div w:id="690186512">
              <w:marLeft w:val="0"/>
              <w:marRight w:val="0"/>
              <w:marTop w:val="0"/>
              <w:marBottom w:val="0"/>
              <w:divBdr>
                <w:top w:val="none" w:sz="0" w:space="0" w:color="auto"/>
                <w:left w:val="none" w:sz="0" w:space="0" w:color="auto"/>
                <w:bottom w:val="none" w:sz="0" w:space="0" w:color="auto"/>
                <w:right w:val="none" w:sz="0" w:space="0" w:color="auto"/>
              </w:divBdr>
            </w:div>
          </w:divsChild>
        </w:div>
        <w:div w:id="1490513172">
          <w:marLeft w:val="225"/>
          <w:marRight w:val="225"/>
          <w:marTop w:val="0"/>
          <w:marBottom w:val="0"/>
          <w:divBdr>
            <w:top w:val="none" w:sz="0" w:space="0" w:color="auto"/>
            <w:left w:val="none" w:sz="0" w:space="0" w:color="auto"/>
            <w:bottom w:val="none" w:sz="0" w:space="0" w:color="auto"/>
            <w:right w:val="none" w:sz="0" w:space="0" w:color="auto"/>
          </w:divBdr>
          <w:divsChild>
            <w:div w:id="1693457736">
              <w:marLeft w:val="0"/>
              <w:marRight w:val="0"/>
              <w:marTop w:val="0"/>
              <w:marBottom w:val="0"/>
              <w:divBdr>
                <w:top w:val="none" w:sz="0" w:space="0" w:color="auto"/>
                <w:left w:val="none" w:sz="0" w:space="0" w:color="auto"/>
                <w:bottom w:val="none" w:sz="0" w:space="0" w:color="auto"/>
                <w:right w:val="none" w:sz="0" w:space="0" w:color="auto"/>
              </w:divBdr>
            </w:div>
            <w:div w:id="1386835024">
              <w:marLeft w:val="0"/>
              <w:marRight w:val="0"/>
              <w:marTop w:val="0"/>
              <w:marBottom w:val="0"/>
              <w:divBdr>
                <w:top w:val="none" w:sz="0" w:space="0" w:color="auto"/>
                <w:left w:val="none" w:sz="0" w:space="0" w:color="auto"/>
                <w:bottom w:val="none" w:sz="0" w:space="0" w:color="auto"/>
                <w:right w:val="none" w:sz="0" w:space="0" w:color="auto"/>
              </w:divBdr>
            </w:div>
          </w:divsChild>
        </w:div>
        <w:div w:id="485439049">
          <w:marLeft w:val="225"/>
          <w:marRight w:val="225"/>
          <w:marTop w:val="0"/>
          <w:marBottom w:val="0"/>
          <w:divBdr>
            <w:top w:val="none" w:sz="0" w:space="0" w:color="auto"/>
            <w:left w:val="none" w:sz="0" w:space="0" w:color="auto"/>
            <w:bottom w:val="none" w:sz="0" w:space="0" w:color="auto"/>
            <w:right w:val="none" w:sz="0" w:space="0" w:color="auto"/>
          </w:divBdr>
          <w:divsChild>
            <w:div w:id="1187406537">
              <w:marLeft w:val="0"/>
              <w:marRight w:val="0"/>
              <w:marTop w:val="0"/>
              <w:marBottom w:val="0"/>
              <w:divBdr>
                <w:top w:val="none" w:sz="0" w:space="0" w:color="auto"/>
                <w:left w:val="none" w:sz="0" w:space="0" w:color="auto"/>
                <w:bottom w:val="none" w:sz="0" w:space="0" w:color="auto"/>
                <w:right w:val="none" w:sz="0" w:space="0" w:color="auto"/>
              </w:divBdr>
            </w:div>
            <w:div w:id="1407221156">
              <w:marLeft w:val="0"/>
              <w:marRight w:val="0"/>
              <w:marTop w:val="0"/>
              <w:marBottom w:val="0"/>
              <w:divBdr>
                <w:top w:val="none" w:sz="0" w:space="0" w:color="auto"/>
                <w:left w:val="none" w:sz="0" w:space="0" w:color="auto"/>
                <w:bottom w:val="none" w:sz="0" w:space="0" w:color="auto"/>
                <w:right w:val="none" w:sz="0" w:space="0" w:color="auto"/>
              </w:divBdr>
            </w:div>
          </w:divsChild>
        </w:div>
        <w:div w:id="1877691970">
          <w:marLeft w:val="225"/>
          <w:marRight w:val="225"/>
          <w:marTop w:val="0"/>
          <w:marBottom w:val="0"/>
          <w:divBdr>
            <w:top w:val="none" w:sz="0" w:space="0" w:color="auto"/>
            <w:left w:val="none" w:sz="0" w:space="0" w:color="auto"/>
            <w:bottom w:val="none" w:sz="0" w:space="0" w:color="auto"/>
            <w:right w:val="none" w:sz="0" w:space="0" w:color="auto"/>
          </w:divBdr>
          <w:divsChild>
            <w:div w:id="837699277">
              <w:marLeft w:val="0"/>
              <w:marRight w:val="0"/>
              <w:marTop w:val="0"/>
              <w:marBottom w:val="0"/>
              <w:divBdr>
                <w:top w:val="none" w:sz="0" w:space="0" w:color="auto"/>
                <w:left w:val="none" w:sz="0" w:space="0" w:color="auto"/>
                <w:bottom w:val="none" w:sz="0" w:space="0" w:color="auto"/>
                <w:right w:val="none" w:sz="0" w:space="0" w:color="auto"/>
              </w:divBdr>
            </w:div>
            <w:div w:id="1263606325">
              <w:marLeft w:val="0"/>
              <w:marRight w:val="0"/>
              <w:marTop w:val="0"/>
              <w:marBottom w:val="0"/>
              <w:divBdr>
                <w:top w:val="none" w:sz="0" w:space="0" w:color="auto"/>
                <w:left w:val="none" w:sz="0" w:space="0" w:color="auto"/>
                <w:bottom w:val="none" w:sz="0" w:space="0" w:color="auto"/>
                <w:right w:val="none" w:sz="0" w:space="0" w:color="auto"/>
              </w:divBdr>
            </w:div>
          </w:divsChild>
        </w:div>
        <w:div w:id="915087970">
          <w:marLeft w:val="225"/>
          <w:marRight w:val="225"/>
          <w:marTop w:val="0"/>
          <w:marBottom w:val="0"/>
          <w:divBdr>
            <w:top w:val="none" w:sz="0" w:space="0" w:color="auto"/>
            <w:left w:val="none" w:sz="0" w:space="0" w:color="auto"/>
            <w:bottom w:val="none" w:sz="0" w:space="0" w:color="auto"/>
            <w:right w:val="none" w:sz="0" w:space="0" w:color="auto"/>
          </w:divBdr>
          <w:divsChild>
            <w:div w:id="1260061390">
              <w:marLeft w:val="0"/>
              <w:marRight w:val="0"/>
              <w:marTop w:val="0"/>
              <w:marBottom w:val="0"/>
              <w:divBdr>
                <w:top w:val="none" w:sz="0" w:space="0" w:color="auto"/>
                <w:left w:val="none" w:sz="0" w:space="0" w:color="auto"/>
                <w:bottom w:val="none" w:sz="0" w:space="0" w:color="auto"/>
                <w:right w:val="none" w:sz="0" w:space="0" w:color="auto"/>
              </w:divBdr>
            </w:div>
            <w:div w:id="284047715">
              <w:marLeft w:val="0"/>
              <w:marRight w:val="0"/>
              <w:marTop w:val="0"/>
              <w:marBottom w:val="0"/>
              <w:divBdr>
                <w:top w:val="none" w:sz="0" w:space="0" w:color="auto"/>
                <w:left w:val="none" w:sz="0" w:space="0" w:color="auto"/>
                <w:bottom w:val="none" w:sz="0" w:space="0" w:color="auto"/>
                <w:right w:val="none" w:sz="0" w:space="0" w:color="auto"/>
              </w:divBdr>
            </w:div>
          </w:divsChild>
        </w:div>
        <w:div w:id="28914371">
          <w:marLeft w:val="225"/>
          <w:marRight w:val="225"/>
          <w:marTop w:val="0"/>
          <w:marBottom w:val="0"/>
          <w:divBdr>
            <w:top w:val="none" w:sz="0" w:space="0" w:color="auto"/>
            <w:left w:val="none" w:sz="0" w:space="0" w:color="auto"/>
            <w:bottom w:val="none" w:sz="0" w:space="0" w:color="auto"/>
            <w:right w:val="none" w:sz="0" w:space="0" w:color="auto"/>
          </w:divBdr>
          <w:divsChild>
            <w:div w:id="527565403">
              <w:marLeft w:val="0"/>
              <w:marRight w:val="0"/>
              <w:marTop w:val="0"/>
              <w:marBottom w:val="0"/>
              <w:divBdr>
                <w:top w:val="none" w:sz="0" w:space="0" w:color="auto"/>
                <w:left w:val="none" w:sz="0" w:space="0" w:color="auto"/>
                <w:bottom w:val="none" w:sz="0" w:space="0" w:color="auto"/>
                <w:right w:val="none" w:sz="0" w:space="0" w:color="auto"/>
              </w:divBdr>
            </w:div>
            <w:div w:id="15772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mgubuntu.co.uk/2018/06/summit-supercomputer-red-hat-linu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cess.redhat.com/documentation/en-us/red_hat_enterprise_linux/5/html/deployment_guide/s1-x-clie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it-infrastructure/power/supercomputing" TargetMode="External"/><Relationship Id="rId5" Type="http://schemas.openxmlformats.org/officeDocument/2006/relationships/webSettings" Target="webSettings.xml"/><Relationship Id="rId10" Type="http://schemas.openxmlformats.org/officeDocument/2006/relationships/hyperlink" Target="https://www.olcf.ornl.gov/summit/" TargetMode="External"/><Relationship Id="rId4" Type="http://schemas.openxmlformats.org/officeDocument/2006/relationships/settings" Target="settings.xml"/><Relationship Id="rId9" Type="http://schemas.openxmlformats.org/officeDocument/2006/relationships/hyperlink" Target="https://www.ibm.com/blogs/research/2018/06/summ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93D05-E9D7-4F4F-BA1D-CFA7394A1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Anser</dc:creator>
  <cp:keywords/>
  <dc:description/>
  <cp:lastModifiedBy>Ahmad, Anser</cp:lastModifiedBy>
  <cp:revision>5</cp:revision>
  <dcterms:created xsi:type="dcterms:W3CDTF">2019-12-05T15:52:00Z</dcterms:created>
  <dcterms:modified xsi:type="dcterms:W3CDTF">2019-12-10T16:17:00Z</dcterms:modified>
</cp:coreProperties>
</file>