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B954"/>
        </w:rPr>
        <w:t>Spotify — Politique de Gouvernance des Données</w:t>
      </w:r>
    </w:p>
    <w:p>
      <w:r>
        <w:t>Julien CHARLIER — Bloc 1 AIA — Jedha Bootcamp</w:t>
      </w:r>
    </w:p>
    <w:p/>
    <w:p>
      <w:r>
        <w:t>Version 1.0  |  Mars 2026  |  Auteur : Julien CHARLIER</w:t>
      </w:r>
    </w:p>
    <w:p>
      <w:pPr>
        <w:pStyle w:val="Heading1"/>
      </w:pPr>
      <w:r>
        <w:rPr>
          <w:color w:val="1DB954"/>
        </w:rPr>
        <w:t>1. Objectifs</w:t>
      </w:r>
    </w:p>
    <w:p>
      <w:r>
        <w:t>Ce document définit le cadre officiel de gouvernance des données de Spotify. Il vise à :</w:t>
      </w:r>
    </w:p>
    <w:p>
      <w:pPr>
        <w:pStyle w:val="ListBullet"/>
      </w:pPr>
      <w:r>
        <w:t>Garantir la qualité, l'intégrité et la disponibilité des données.</w:t>
      </w:r>
    </w:p>
    <w:p>
      <w:pPr>
        <w:pStyle w:val="ListBullet"/>
      </w:pPr>
      <w:r>
        <w:t>Assurer la conformité avec le RGPD, le CCPA et le PCI-DSS.</w:t>
      </w:r>
    </w:p>
    <w:p>
      <w:pPr>
        <w:pStyle w:val="ListBullet"/>
      </w:pPr>
      <w:r>
        <w:t>Définir les responsabilités pour chaque type de donnée.</w:t>
      </w:r>
    </w:p>
    <w:p>
      <w:pPr>
        <w:pStyle w:val="ListBullet"/>
      </w:pPr>
      <w:r>
        <w:t>Encadrer l'usage des données par les équipes internes et les partenaires.</w:t>
      </w:r>
    </w:p>
    <w:p>
      <w:pPr>
        <w:pStyle w:val="Heading1"/>
      </w:pPr>
      <w:r>
        <w:rPr>
          <w:color w:val="1DB954"/>
        </w:rPr>
        <w:t>2. Périmètre</w:t>
      </w:r>
    </w:p>
    <w:p>
      <w:r>
        <w:t>Cette politique s'applique à l'ensemble des données collectées, traitées ou stockées par Spotify, incluant les données utilisateurs, les métadonnées musicales, les données financières et les logs applicatifs.</w:t>
      </w:r>
    </w:p>
    <w:p>
      <w:pPr>
        <w:pStyle w:val="Heading1"/>
      </w:pPr>
      <w:r>
        <w:rPr>
          <w:color w:val="1DB954"/>
        </w:rPr>
        <w:t>3. Classification des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Niveau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Exemples</w:t>
            </w:r>
          </w:p>
        </w:tc>
      </w:tr>
      <w:tr>
        <w:tc>
          <w:tcPr>
            <w:tcW w:type="dxa" w:w="2880"/>
          </w:tcPr>
          <w:p>
            <w:r>
              <w:t>Publique</w:t>
            </w:r>
          </w:p>
        </w:tc>
        <w:tc>
          <w:tcPr>
            <w:tcW w:type="dxa" w:w="2880"/>
          </w:tcPr>
          <w:p>
            <w:r>
              <w:t>Données accessibles à tous.</w:t>
            </w:r>
          </w:p>
        </w:tc>
        <w:tc>
          <w:tcPr>
            <w:tcW w:type="dxa" w:w="2880"/>
          </w:tcPr>
          <w:p>
            <w:r>
              <w:t>Catalogue musical, podcasts publics.</w:t>
            </w:r>
          </w:p>
        </w:tc>
      </w:tr>
      <w:tr>
        <w:tc>
          <w:tcPr>
            <w:tcW w:type="dxa" w:w="2880"/>
          </w:tcPr>
          <w:p>
            <w:r>
              <w:t>Interne</w:t>
            </w:r>
          </w:p>
        </w:tc>
        <w:tc>
          <w:tcPr>
            <w:tcW w:type="dxa" w:w="2880"/>
          </w:tcPr>
          <w:p>
            <w:r>
              <w:t>Données à usage interne uniquement.</w:t>
            </w:r>
          </w:p>
        </w:tc>
        <w:tc>
          <w:tcPr>
            <w:tcW w:type="dxa" w:w="2880"/>
          </w:tcPr>
          <w:p>
            <w:r>
              <w:t>Métriques business, rapports analytiques.</w:t>
            </w:r>
          </w:p>
        </w:tc>
      </w:tr>
      <w:tr>
        <w:tc>
          <w:tcPr>
            <w:tcW w:type="dxa" w:w="2880"/>
          </w:tcPr>
          <w:p>
            <w:r>
              <w:t>Confidentielle</w:t>
            </w:r>
          </w:p>
        </w:tc>
        <w:tc>
          <w:tcPr>
            <w:tcW w:type="dxa" w:w="2880"/>
          </w:tcPr>
          <w:p>
            <w:r>
              <w:t>Données sensibles — accès restreint.</w:t>
            </w:r>
          </w:p>
        </w:tc>
        <w:tc>
          <w:tcPr>
            <w:tcW w:type="dxa" w:w="2880"/>
          </w:tcPr>
          <w:p>
            <w:r>
              <w:t>Données utilisateurs, contrats artistes.</w:t>
            </w:r>
          </w:p>
        </w:tc>
      </w:tr>
      <w:tr>
        <w:tc>
          <w:tcPr>
            <w:tcW w:type="dxa" w:w="2880"/>
          </w:tcPr>
          <w:p>
            <w:r>
              <w:t>Restreinte</w:t>
            </w:r>
          </w:p>
        </w:tc>
        <w:tc>
          <w:tcPr>
            <w:tcW w:type="dxa" w:w="2880"/>
          </w:tcPr>
          <w:p>
            <w:r>
              <w:t>Données hautement sensibles — accès minimal.</w:t>
            </w:r>
          </w:p>
        </w:tc>
        <w:tc>
          <w:tcPr>
            <w:tcW w:type="dxa" w:w="2880"/>
          </w:tcPr>
          <w:p>
            <w:r>
              <w:t>PAN (données carte), tokens d'authentification.</w:t>
            </w:r>
          </w:p>
        </w:tc>
      </w:tr>
    </w:tbl>
    <w:p>
      <w:pPr>
        <w:pStyle w:val="Heading1"/>
      </w:pPr>
      <w:r>
        <w:rPr>
          <w:color w:val="1DB954"/>
        </w:rPr>
        <w:t>4. Principes de gouvernance</w:t>
      </w:r>
    </w:p>
    <w:p>
      <w:pPr>
        <w:pStyle w:val="ListBullet"/>
      </w:pPr>
      <w:r>
        <w:t>Minimisation : Seules les données nécessaires au service sont collectées.</w:t>
      </w:r>
    </w:p>
    <w:p>
      <w:pPr>
        <w:pStyle w:val="ListBullet"/>
      </w:pPr>
      <w:r>
        <w:t>Consentement explicite : Tout traitement de données personnelles requiert un consentement clair et révocable.</w:t>
      </w:r>
    </w:p>
    <w:p>
      <w:pPr>
        <w:pStyle w:val="ListBullet"/>
      </w:pPr>
      <w:r>
        <w:t>Droit à l'oubli : Toute demande de suppression est traitée sous 30 jours.</w:t>
      </w:r>
    </w:p>
    <w:p>
      <w:pPr>
        <w:pStyle w:val="ListBullet"/>
      </w:pPr>
      <w:r>
        <w:t>Portabilité : Les utilisateurs peuvent exporter leurs données dans un format standard (JSON/CSV).</w:t>
      </w:r>
    </w:p>
    <w:p>
      <w:pPr>
        <w:pStyle w:val="ListBullet"/>
      </w:pPr>
      <w:r>
        <w:t>Sécurité by design : La protection des données est intégrée dès la conception des systèmes.</w:t>
      </w:r>
    </w:p>
    <w:p>
      <w:pPr>
        <w:pStyle w:val="Heading1"/>
      </w:pPr>
      <w:r>
        <w:rPr>
          <w:color w:val="1DB954"/>
        </w:rPr>
        <w:t>5. Conservation et suppression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Type de donnée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Durée de conservation</w:t>
            </w:r>
          </w:p>
        </w:tc>
        <w:tc>
          <w:tcPr>
            <w:tcW w:type="dxa" w:w="2880"/>
            <w:shd w:fill="1DB954" w:val="clear"/>
          </w:tcPr>
          <w:p>
            <w:r>
              <w:rPr>
                <w:b/>
                <w:color w:val="FFFFFF"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Données de streaming</w:t>
            </w:r>
          </w:p>
        </w:tc>
        <w:tc>
          <w:tcPr>
            <w:tcW w:type="dxa" w:w="2880"/>
          </w:tcPr>
          <w:p>
            <w:r>
              <w:t>13 mois</w:t>
            </w:r>
          </w:p>
        </w:tc>
        <w:tc>
          <w:tcPr>
            <w:tcW w:type="dxa" w:w="2880"/>
          </w:tcPr>
          <w:p>
            <w:r>
              <w:t>Personnalisation annuelle (Spotify Wrapped).</w:t>
            </w:r>
          </w:p>
        </w:tc>
      </w:tr>
      <w:tr>
        <w:tc>
          <w:tcPr>
            <w:tcW w:type="dxa" w:w="2880"/>
          </w:tcPr>
          <w:p>
            <w:r>
              <w:t>Données de paiement</w:t>
            </w:r>
          </w:p>
        </w:tc>
        <w:tc>
          <w:tcPr>
            <w:tcW w:type="dxa" w:w="2880"/>
          </w:tcPr>
          <w:p>
            <w:r>
              <w:t>5 ans</w:t>
            </w:r>
          </w:p>
        </w:tc>
        <w:tc>
          <w:tcPr>
            <w:tcW w:type="dxa" w:w="2880"/>
          </w:tcPr>
          <w:p>
            <w:r>
              <w:t>Obligations légales comptables.</w:t>
            </w:r>
          </w:p>
        </w:tc>
      </w:tr>
      <w:tr>
        <w:tc>
          <w:tcPr>
            <w:tcW w:type="dxa" w:w="2880"/>
          </w:tcPr>
          <w:p>
            <w:r>
              <w:t>Logs de connexion</w:t>
            </w:r>
          </w:p>
        </w:tc>
        <w:tc>
          <w:tcPr>
            <w:tcW w:type="dxa" w:w="2880"/>
          </w:tcPr>
          <w:p>
            <w:r>
              <w:t>90 jours</w:t>
            </w:r>
          </w:p>
        </w:tc>
        <w:tc>
          <w:tcPr>
            <w:tcW w:type="dxa" w:w="2880"/>
          </w:tcPr>
          <w:p>
            <w:r>
              <w:t>Sécurité et détection de fraude.</w:t>
            </w:r>
          </w:p>
        </w:tc>
      </w:tr>
      <w:tr>
        <w:tc>
          <w:tcPr>
            <w:tcW w:type="dxa" w:w="2880"/>
          </w:tcPr>
          <w:p>
            <w:r>
              <w:t>Données après résiliation</w:t>
            </w:r>
          </w:p>
        </w:tc>
        <w:tc>
          <w:tcPr>
            <w:tcW w:type="dxa" w:w="2880"/>
          </w:tcPr>
          <w:p>
            <w:r>
              <w:t>30 jours</w:t>
            </w:r>
          </w:p>
        </w:tc>
        <w:tc>
          <w:tcPr>
            <w:tcW w:type="dxa" w:w="2880"/>
          </w:tcPr>
          <w:p>
            <w:r>
              <w:t>Droit à l'oubli RGPD.</w:t>
            </w:r>
          </w:p>
        </w:tc>
      </w:tr>
    </w:tbl>
    <w:p>
      <w:pPr>
        <w:pStyle w:val="Heading1"/>
      </w:pPr>
      <w:r>
        <w:rPr>
          <w:color w:val="1DB954"/>
        </w:rPr>
        <w:t>6. Conformité réglementaire</w:t>
      </w:r>
    </w:p>
    <w:p>
      <w:pPr>
        <w:pStyle w:val="ListBullet"/>
      </w:pPr>
      <w:r>
        <w:t>RGPD (UE) : Registre des traitements, DPO nommé, analyses d'impact (DPIA) pour les traitements à risque.</w:t>
      </w:r>
    </w:p>
    <w:p>
      <w:pPr>
        <w:pStyle w:val="ListBullet"/>
      </w:pPr>
      <w:r>
        <w:t>CCPA (Californie) : Droit d'opt-out, divulgation annuelle des catégories de données vendues.</w:t>
      </w:r>
    </w:p>
    <w:p>
      <w:pPr>
        <w:pStyle w:val="ListBullet"/>
      </w:pPr>
      <w:r>
        <w:t>PCI-DSS : Tokenisation des données carte, audit trimestriel, pas de stockage du CVV.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